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DE5523C"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A7232E">
        <w:rPr>
          <w:rFonts w:ascii="Arial" w:hAnsi="Arial" w:cs="Arial"/>
          <w:b/>
          <w:sz w:val="24"/>
          <w:szCs w:val="28"/>
          <w:lang w:val="en-US"/>
        </w:rPr>
        <w:t>5</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922B83">
        <w:rPr>
          <w:rFonts w:ascii="Arial" w:hAnsi="Arial" w:cs="Arial"/>
          <w:b/>
          <w:sz w:val="24"/>
          <w:szCs w:val="28"/>
          <w:lang w:val="en-US"/>
        </w:rPr>
        <w:t>0</w:t>
      </w:r>
      <w:r w:rsidR="007A5798">
        <w:rPr>
          <w:rFonts w:ascii="Arial" w:hAnsi="Arial" w:cs="Arial"/>
          <w:b/>
          <w:sz w:val="24"/>
          <w:szCs w:val="28"/>
          <w:lang w:val="en-US"/>
        </w:rPr>
        <w:t>7983</w:t>
      </w:r>
      <w:bookmarkStart w:id="0" w:name="_GoBack"/>
      <w:bookmarkEnd w:id="0"/>
    </w:p>
    <w:p w14:paraId="60407F1B" w14:textId="77601B41"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A7232E">
        <w:rPr>
          <w:rFonts w:ascii="Arial" w:hAnsi="Arial" w:cs="Arial"/>
          <w:b/>
          <w:sz w:val="24"/>
          <w:szCs w:val="28"/>
          <w:lang w:val="en-US"/>
        </w:rPr>
        <w:t>May 25-June 05</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E8CCE8F"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175DB7">
        <w:rPr>
          <w:rFonts w:ascii="Arial" w:hAnsi="Arial" w:cs="Arial"/>
          <w:sz w:val="22"/>
          <w:szCs w:val="22"/>
          <w:lang w:val="en-US"/>
        </w:rPr>
        <w:t>6</w:t>
      </w:r>
      <w:r w:rsidR="00544FCB">
        <w:rPr>
          <w:rFonts w:ascii="Arial" w:hAnsi="Arial" w:cs="Arial"/>
          <w:sz w:val="22"/>
          <w:szCs w:val="22"/>
          <w:lang w:val="en-US"/>
        </w:rPr>
        <w:t>.1.</w:t>
      </w:r>
      <w:r w:rsidR="00175DB7">
        <w:rPr>
          <w:rFonts w:ascii="Arial" w:hAnsi="Arial" w:cs="Arial"/>
          <w:sz w:val="22"/>
          <w:szCs w:val="22"/>
          <w:lang w:val="en-US"/>
        </w:rPr>
        <w:t>5</w:t>
      </w:r>
      <w:r w:rsidR="00D75664">
        <w:rPr>
          <w:rFonts w:ascii="Arial" w:hAnsi="Arial" w:cs="Arial"/>
          <w:sz w:val="22"/>
          <w:szCs w:val="22"/>
          <w:lang w:val="en-US"/>
        </w:rPr>
        <w:t>.</w:t>
      </w:r>
      <w:r w:rsidR="00175DB7">
        <w:rPr>
          <w:rFonts w:ascii="Arial" w:hAnsi="Arial" w:cs="Arial"/>
          <w:sz w:val="22"/>
          <w:szCs w:val="22"/>
          <w:lang w:val="en-US"/>
        </w:rPr>
        <w:t>9</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105DB42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A7232E" w:rsidRPr="00A7232E">
        <w:rPr>
          <w:rFonts w:ascii="Arial" w:hAnsi="Arial" w:cs="Arial"/>
          <w:sz w:val="22"/>
          <w:szCs w:val="22"/>
        </w:rPr>
        <w:t xml:space="preserve">Analysis of open issues in BWP switching </w:t>
      </w:r>
      <w:r w:rsidR="00A7232E">
        <w:rPr>
          <w:rFonts w:ascii="Arial" w:hAnsi="Arial" w:cs="Arial"/>
          <w:sz w:val="22"/>
          <w:szCs w:val="22"/>
        </w:rPr>
        <w:t xml:space="preserve">delay </w:t>
      </w:r>
      <w:r w:rsidR="00A7232E" w:rsidRPr="00A7232E">
        <w:rPr>
          <w:rFonts w:ascii="Arial" w:hAnsi="Arial" w:cs="Arial"/>
          <w:sz w:val="22"/>
          <w:szCs w:val="22"/>
        </w:rPr>
        <w:t>due to consistent UL failure</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63CD4" w:rsidRDefault="00CC6F36" w:rsidP="00263CD4">
      <w:pPr>
        <w:pStyle w:val="Heading1"/>
        <w:numPr>
          <w:ilvl w:val="0"/>
          <w:numId w:val="17"/>
        </w:numPr>
      </w:pPr>
      <w:bookmarkStart w:id="1" w:name="OLE_LINK13"/>
      <w:bookmarkStart w:id="2" w:name="OLE_LINK14"/>
      <w:r w:rsidRPr="00263CD4">
        <w:t>Introduction</w:t>
      </w:r>
    </w:p>
    <w:p w14:paraId="5F4FA9F6" w14:textId="1DD94FCD" w:rsidR="00B44E82" w:rsidRDefault="009828FE" w:rsidP="00056CCB">
      <w:pPr>
        <w:spacing w:after="0"/>
        <w:rPr>
          <w:sz w:val="22"/>
          <w:szCs w:val="22"/>
          <w:lang w:val="en-US"/>
        </w:rPr>
      </w:pPr>
      <w:r w:rsidRPr="003052E9">
        <w:rPr>
          <w:sz w:val="22"/>
          <w:szCs w:val="22"/>
          <w:lang w:val="en-US"/>
        </w:rPr>
        <w:t>In RAN4</w:t>
      </w:r>
      <w:r w:rsidR="00087C28" w:rsidRPr="003052E9">
        <w:rPr>
          <w:sz w:val="22"/>
          <w:szCs w:val="22"/>
          <w:lang w:val="en-US"/>
        </w:rPr>
        <w:t>#9</w:t>
      </w:r>
      <w:r w:rsidR="009C169C">
        <w:rPr>
          <w:sz w:val="22"/>
          <w:szCs w:val="22"/>
          <w:lang w:val="en-US"/>
        </w:rPr>
        <w:t>4-e-bis</w:t>
      </w:r>
      <w:r w:rsidR="000850C5" w:rsidRPr="003052E9">
        <w:rPr>
          <w:sz w:val="22"/>
          <w:szCs w:val="22"/>
          <w:lang w:val="en-US"/>
        </w:rPr>
        <w:t xml:space="preserve">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32110B" w:rsidRPr="003052E9">
        <w:rPr>
          <w:sz w:val="22"/>
          <w:szCs w:val="22"/>
          <w:lang w:val="en-US"/>
        </w:rPr>
        <w:t>RRM requirements</w:t>
      </w:r>
      <w:r w:rsidR="00C50450" w:rsidRPr="003052E9">
        <w:rPr>
          <w:sz w:val="22"/>
          <w:szCs w:val="22"/>
          <w:lang w:val="en-US"/>
        </w:rPr>
        <w:t xml:space="preserve"> </w:t>
      </w:r>
      <w:r w:rsidR="00016F6F" w:rsidRPr="003052E9">
        <w:rPr>
          <w:sz w:val="22"/>
          <w:szCs w:val="22"/>
          <w:lang w:val="en-US"/>
        </w:rPr>
        <w:t xml:space="preserve">for </w:t>
      </w:r>
      <w:r w:rsidR="00BE5538">
        <w:rPr>
          <w:sz w:val="22"/>
          <w:szCs w:val="22"/>
          <w:lang w:val="en-US"/>
        </w:rPr>
        <w:t>NR-U</w:t>
      </w:r>
      <w:r w:rsidR="00016F6F" w:rsidRPr="003052E9">
        <w:rPr>
          <w:sz w:val="22"/>
          <w:szCs w:val="22"/>
          <w:lang w:val="en-US"/>
        </w:rPr>
        <w:t xml:space="preserve"> </w:t>
      </w:r>
      <w:r w:rsidR="000743B0">
        <w:rPr>
          <w:sz w:val="22"/>
          <w:szCs w:val="22"/>
          <w:lang w:val="en-US"/>
        </w:rPr>
        <w:t xml:space="preserve">Part 2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056CCB">
        <w:rPr>
          <w:sz w:val="22"/>
          <w:szCs w:val="22"/>
          <w:lang w:val="en-US"/>
        </w:rPr>
        <w:t xml:space="preserve">The CR specifying the </w:t>
      </w:r>
      <w:r w:rsidR="00056CCB" w:rsidRPr="00056CCB">
        <w:rPr>
          <w:sz w:val="22"/>
          <w:szCs w:val="22"/>
          <w:lang w:val="en-US"/>
        </w:rPr>
        <w:t xml:space="preserve">UL BWP switching delay upon detection of consistent UL LBT failure </w:t>
      </w:r>
      <w:r w:rsidR="00056CCB">
        <w:rPr>
          <w:sz w:val="22"/>
          <w:szCs w:val="22"/>
          <w:lang w:val="en-US"/>
        </w:rPr>
        <w:t xml:space="preserve">was also endorsed [2]. </w:t>
      </w:r>
      <w:r w:rsidR="00A40679">
        <w:rPr>
          <w:sz w:val="22"/>
          <w:szCs w:val="22"/>
          <w:lang w:val="en-US"/>
        </w:rPr>
        <w:t>The</w:t>
      </w:r>
      <w:r w:rsidR="00056CCB">
        <w:rPr>
          <w:sz w:val="22"/>
          <w:szCs w:val="22"/>
          <w:lang w:val="en-US"/>
        </w:rPr>
        <w:t xml:space="preserve"> following two open issues related to the agreed requirements were identified </w:t>
      </w:r>
      <w:r w:rsidR="000743B0">
        <w:rPr>
          <w:sz w:val="22"/>
          <w:szCs w:val="22"/>
          <w:lang w:val="en-US"/>
        </w:rPr>
        <w:t>[</w:t>
      </w:r>
      <w:r w:rsidR="00056CCB">
        <w:rPr>
          <w:sz w:val="22"/>
          <w:szCs w:val="22"/>
          <w:lang w:val="en-US"/>
        </w:rPr>
        <w:t>2</w:t>
      </w:r>
      <w:r w:rsidR="000743B0">
        <w:rPr>
          <w:sz w:val="22"/>
          <w:szCs w:val="22"/>
          <w:lang w:val="en-US"/>
        </w:rPr>
        <w:t>]:</w:t>
      </w:r>
      <w:r w:rsidR="000743B0" w:rsidRPr="000743B0">
        <w:rPr>
          <w:sz w:val="22"/>
          <w:szCs w:val="22"/>
          <w:lang w:val="en-US"/>
        </w:rPr>
        <w:t xml:space="preserve"> </w:t>
      </w:r>
    </w:p>
    <w:p w14:paraId="56F2C7BB" w14:textId="77777777" w:rsidR="009D6E35" w:rsidRPr="009D6E35" w:rsidRDefault="009D6E35" w:rsidP="009D6E35">
      <w:pPr>
        <w:numPr>
          <w:ilvl w:val="0"/>
          <w:numId w:val="19"/>
        </w:numPr>
        <w:pBdr>
          <w:top w:val="single" w:sz="4" w:space="1" w:color="auto"/>
        </w:pBdr>
        <w:spacing w:before="240" w:after="0" w:line="216" w:lineRule="auto"/>
        <w:ind w:left="1077" w:hanging="357"/>
        <w:rPr>
          <w:i/>
          <w:iCs/>
          <w:lang w:val="en-US" w:eastAsia="sv-SE"/>
        </w:rPr>
      </w:pPr>
      <w:r w:rsidRPr="009D6E35">
        <w:rPr>
          <w:rFonts w:ascii="Calibri" w:eastAsia="+mn-ea" w:hAnsi="Calibri" w:cs="+mn-cs"/>
          <w:i/>
          <w:iCs/>
          <w:color w:val="000000"/>
          <w:kern w:val="24"/>
          <w:lang w:eastAsia="sv-SE"/>
        </w:rPr>
        <w:t xml:space="preserve">The ending point of </w:t>
      </w:r>
      <w:r w:rsidRPr="009D6E35">
        <w:rPr>
          <w:rFonts w:ascii="Calibri" w:eastAsia="+mn-ea" w:hAnsi="Calibri" w:cs="+mn-cs"/>
          <w:i/>
          <w:iCs/>
          <w:color w:val="000000"/>
          <w:kern w:val="24"/>
          <w:lang w:val="en-US" w:eastAsia="sv-SE"/>
        </w:rPr>
        <w:t>UL BWP switching delay</w:t>
      </w:r>
      <w:r w:rsidRPr="009D6E35">
        <w:rPr>
          <w:rFonts w:ascii="Calibri" w:eastAsia="+mn-ea" w:hAnsi="Calibri" w:cs="+mn-cs"/>
          <w:i/>
          <w:iCs/>
          <w:color w:val="000000"/>
          <w:kern w:val="24"/>
          <w:lang w:eastAsia="sv-SE"/>
        </w:rPr>
        <w:t xml:space="preserve"> upon detection of consistent UL LBT failure</w:t>
      </w:r>
      <w:r w:rsidRPr="009D6E35">
        <w:rPr>
          <w:rFonts w:ascii="Calibri" w:eastAsia="+mn-ea" w:hAnsi="Calibri" w:cs="+mn-cs"/>
          <w:i/>
          <w:iCs/>
          <w:color w:val="000000"/>
          <w:kern w:val="24"/>
          <w:lang w:val="en-US" w:eastAsia="sv-SE"/>
        </w:rPr>
        <w:t xml:space="preserve"> </w:t>
      </w:r>
    </w:p>
    <w:p w14:paraId="3AE52C92" w14:textId="77777777" w:rsidR="009D6E35" w:rsidRPr="009D6E35" w:rsidRDefault="009D6E35" w:rsidP="009D6E35">
      <w:pPr>
        <w:numPr>
          <w:ilvl w:val="1"/>
          <w:numId w:val="19"/>
        </w:numPr>
        <w:spacing w:after="0" w:line="216" w:lineRule="auto"/>
        <w:ind w:left="2520"/>
        <w:contextualSpacing/>
        <w:rPr>
          <w:i/>
          <w:iCs/>
          <w:lang w:val="sv-SE" w:eastAsia="sv-SE"/>
        </w:rPr>
      </w:pPr>
      <w:r w:rsidRPr="009D6E35">
        <w:rPr>
          <w:rFonts w:ascii="Calibri" w:eastAsia="+mn-ea" w:hAnsi="Calibri" w:cs="+mn-cs"/>
          <w:i/>
          <w:iCs/>
          <w:color w:val="000000"/>
          <w:kern w:val="24"/>
          <w:lang w:val="en-US" w:eastAsia="sv-SE"/>
        </w:rPr>
        <w:t>Option 1: UE transmits RACH</w:t>
      </w:r>
    </w:p>
    <w:p w14:paraId="04EBBC80" w14:textId="77777777" w:rsidR="009D6E35" w:rsidRPr="009D6E35" w:rsidRDefault="009D6E35" w:rsidP="009D6E35">
      <w:pPr>
        <w:numPr>
          <w:ilvl w:val="1"/>
          <w:numId w:val="19"/>
        </w:numPr>
        <w:spacing w:after="0" w:line="216" w:lineRule="auto"/>
        <w:ind w:left="2520"/>
        <w:contextualSpacing/>
        <w:rPr>
          <w:i/>
          <w:iCs/>
          <w:lang w:val="en-US" w:eastAsia="sv-SE"/>
        </w:rPr>
      </w:pPr>
      <w:r w:rsidRPr="009D6E35">
        <w:rPr>
          <w:rFonts w:ascii="Calibri" w:eastAsia="+mn-ea" w:hAnsi="Calibri" w:cs="+mn-cs"/>
          <w:i/>
          <w:iCs/>
          <w:color w:val="000000"/>
          <w:kern w:val="24"/>
          <w:lang w:val="en-US" w:eastAsia="sv-SE"/>
        </w:rPr>
        <w:t>Option 2: UE is ready to transmit RACH</w:t>
      </w:r>
    </w:p>
    <w:p w14:paraId="62AB3DB5" w14:textId="77777777" w:rsidR="009D6E35" w:rsidRPr="009D6E35" w:rsidRDefault="009D6E35" w:rsidP="00CE7455">
      <w:pPr>
        <w:numPr>
          <w:ilvl w:val="0"/>
          <w:numId w:val="19"/>
        </w:numPr>
        <w:pBdr>
          <w:bottom w:val="single" w:sz="4" w:space="1" w:color="auto"/>
        </w:pBdr>
        <w:spacing w:after="0" w:line="216" w:lineRule="auto"/>
        <w:ind w:left="1080"/>
        <w:contextualSpacing/>
        <w:rPr>
          <w:i/>
          <w:iCs/>
          <w:lang w:val="en-US" w:eastAsia="sv-SE"/>
        </w:rPr>
      </w:pPr>
      <w:r w:rsidRPr="009D6E35">
        <w:rPr>
          <w:rFonts w:ascii="Calibri" w:eastAsia="+mn-ea" w:hAnsi="Calibri" w:cs="+mn-cs"/>
          <w:i/>
          <w:iCs/>
          <w:color w:val="000000"/>
          <w:kern w:val="24"/>
          <w:lang w:val="en-US" w:eastAsia="sv-SE"/>
        </w:rPr>
        <w:t xml:space="preserve">FFS whether to add the condition about the relative frequency locations for the old and new UL BWPs </w:t>
      </w:r>
    </w:p>
    <w:p w14:paraId="010F8CF9" w14:textId="7E744FB5" w:rsidR="00866CC5" w:rsidRPr="003052E9" w:rsidRDefault="00866CC5" w:rsidP="008F549F">
      <w:pPr>
        <w:spacing w:before="240" w:after="0"/>
        <w:rPr>
          <w:sz w:val="22"/>
          <w:szCs w:val="22"/>
          <w:lang w:val="en-US"/>
        </w:rPr>
      </w:pPr>
      <w:r w:rsidRPr="003052E9">
        <w:rPr>
          <w:sz w:val="22"/>
          <w:szCs w:val="22"/>
          <w:lang w:val="en-US"/>
        </w:rPr>
        <w:t xml:space="preserve">In this paper we </w:t>
      </w:r>
      <w:r w:rsidR="00056CCB">
        <w:rPr>
          <w:sz w:val="22"/>
          <w:szCs w:val="22"/>
          <w:lang w:val="en-US"/>
        </w:rPr>
        <w:t>address</w:t>
      </w:r>
      <w:r w:rsidR="000743B0">
        <w:rPr>
          <w:sz w:val="22"/>
          <w:szCs w:val="22"/>
          <w:lang w:val="en-US"/>
        </w:rPr>
        <w:t xml:space="preserve"> the </w:t>
      </w:r>
      <w:r w:rsidR="00056CCB">
        <w:rPr>
          <w:sz w:val="22"/>
          <w:szCs w:val="22"/>
          <w:lang w:val="en-US"/>
        </w:rPr>
        <w:t xml:space="preserve">two open issues related to the </w:t>
      </w:r>
      <w:r w:rsidR="000F580A">
        <w:rPr>
          <w:sz w:val="22"/>
          <w:szCs w:val="22"/>
          <w:lang w:val="en-US"/>
        </w:rPr>
        <w:t xml:space="preserve">BWP switching </w:t>
      </w:r>
      <w:r w:rsidR="000F580A" w:rsidRPr="00A40679">
        <w:rPr>
          <w:sz w:val="22"/>
          <w:szCs w:val="22"/>
          <w:lang w:val="en-US"/>
        </w:rPr>
        <w:t xml:space="preserve">requirements triggered </w:t>
      </w:r>
      <w:r w:rsidR="000743B0">
        <w:rPr>
          <w:sz w:val="22"/>
          <w:szCs w:val="22"/>
          <w:lang w:val="en-US"/>
        </w:rPr>
        <w:t>by</w:t>
      </w:r>
      <w:r w:rsidR="000F580A">
        <w:rPr>
          <w:sz w:val="22"/>
          <w:szCs w:val="22"/>
          <w:lang w:val="en-US"/>
        </w:rPr>
        <w:t xml:space="preserve"> </w:t>
      </w:r>
      <w:r w:rsidR="000F580A" w:rsidRPr="00A40679">
        <w:rPr>
          <w:sz w:val="22"/>
          <w:szCs w:val="22"/>
          <w:lang w:val="en-US"/>
        </w:rPr>
        <w:t>consistent UL LBT failure</w:t>
      </w:r>
      <w:r w:rsidRPr="003052E9">
        <w:rPr>
          <w:sz w:val="22"/>
          <w:szCs w:val="22"/>
          <w:lang w:val="en-US"/>
        </w:rPr>
        <w:t xml:space="preserve">. </w:t>
      </w:r>
    </w:p>
    <w:p w14:paraId="6343CBEA" w14:textId="25621980" w:rsidR="00F377FF" w:rsidRDefault="00056CCB" w:rsidP="00263CD4">
      <w:pPr>
        <w:pStyle w:val="Heading1"/>
        <w:numPr>
          <w:ilvl w:val="0"/>
          <w:numId w:val="17"/>
        </w:numPr>
        <w:spacing w:before="360" w:after="0"/>
      </w:pPr>
      <w:r>
        <w:t xml:space="preserve">End point of </w:t>
      </w:r>
      <w:r w:rsidR="00F64287" w:rsidRPr="00F64287">
        <w:t xml:space="preserve">UL BWP switching </w:t>
      </w:r>
      <w:r>
        <w:t xml:space="preserve">delay </w:t>
      </w:r>
      <w:r w:rsidR="000A0B29">
        <w:t xml:space="preserve">due to </w:t>
      </w:r>
      <w:r w:rsidR="00F64287" w:rsidRPr="00F64287">
        <w:t>consistent UL LBT failure</w:t>
      </w:r>
    </w:p>
    <w:p w14:paraId="1DB631F8" w14:textId="7084AC7F" w:rsidR="00056CCB" w:rsidRDefault="00056CCB" w:rsidP="00FE032A">
      <w:pPr>
        <w:spacing w:before="240" w:after="0"/>
        <w:rPr>
          <w:rFonts w:eastAsia="SimSun"/>
          <w:sz w:val="22"/>
          <w:szCs w:val="22"/>
          <w:lang w:eastAsia="ko-KR"/>
        </w:rPr>
      </w:pPr>
      <w:r>
        <w:rPr>
          <w:rFonts w:eastAsia="SimSun"/>
          <w:sz w:val="22"/>
          <w:szCs w:val="22"/>
          <w:lang w:eastAsia="ko-KR"/>
        </w:rPr>
        <w:t>The main issue is whether the e</w:t>
      </w:r>
      <w:r w:rsidRPr="00056CCB">
        <w:rPr>
          <w:rFonts w:eastAsia="SimSun"/>
          <w:sz w:val="22"/>
          <w:szCs w:val="22"/>
          <w:lang w:eastAsia="ko-KR"/>
        </w:rPr>
        <w:t>nd point of UL BWP switching delay due to consistent UL LBT failure</w:t>
      </w:r>
      <w:r>
        <w:rPr>
          <w:rFonts w:eastAsia="SimSun"/>
          <w:sz w:val="22"/>
          <w:szCs w:val="22"/>
          <w:lang w:eastAsia="ko-KR"/>
        </w:rPr>
        <w:t xml:space="preserve"> should also include additional uncertainty time to account for </w:t>
      </w:r>
      <w:r w:rsidRPr="00056CCB">
        <w:rPr>
          <w:rFonts w:eastAsia="SimSun"/>
          <w:sz w:val="22"/>
          <w:szCs w:val="22"/>
          <w:lang w:eastAsia="ko-KR"/>
        </w:rPr>
        <w:t>the availability of RACH resource</w:t>
      </w:r>
      <w:r>
        <w:rPr>
          <w:rFonts w:eastAsia="SimSun"/>
          <w:sz w:val="22"/>
          <w:szCs w:val="22"/>
          <w:lang w:eastAsia="ko-KR"/>
        </w:rPr>
        <w:t xml:space="preserve">. </w:t>
      </w:r>
    </w:p>
    <w:p w14:paraId="2CDA7D13" w14:textId="63AAC5D3" w:rsidR="00056CCB" w:rsidRDefault="002C0C00" w:rsidP="00FE032A">
      <w:pPr>
        <w:spacing w:before="240" w:after="0"/>
        <w:rPr>
          <w:rFonts w:eastAsia="SimSun"/>
          <w:sz w:val="22"/>
          <w:szCs w:val="22"/>
          <w:lang w:eastAsia="ko-KR"/>
        </w:rPr>
      </w:pPr>
      <w:r>
        <w:rPr>
          <w:rFonts w:eastAsia="SimSun"/>
          <w:sz w:val="22"/>
          <w:szCs w:val="22"/>
          <w:lang w:eastAsia="ko-KR"/>
        </w:rPr>
        <w:t xml:space="preserve">The </w:t>
      </w:r>
      <w:r w:rsidRPr="00056CCB">
        <w:rPr>
          <w:rFonts w:eastAsia="SimSun"/>
          <w:sz w:val="22"/>
          <w:szCs w:val="22"/>
          <w:lang w:eastAsia="ko-KR"/>
        </w:rPr>
        <w:t>UL BWP switching delay</w:t>
      </w:r>
      <w:r>
        <w:rPr>
          <w:rFonts w:eastAsia="SimSun"/>
          <w:sz w:val="22"/>
          <w:szCs w:val="22"/>
          <w:lang w:eastAsia="ko-KR"/>
        </w:rPr>
        <w:t xml:space="preserve"> is defined as follows [2]:</w:t>
      </w:r>
    </w:p>
    <w:p w14:paraId="578D9B29" w14:textId="2A4C4511" w:rsidR="002C0C00" w:rsidRPr="002C0C00" w:rsidRDefault="002C0C00" w:rsidP="002C0C00">
      <w:pPr>
        <w:pBdr>
          <w:top w:val="single" w:sz="4" w:space="1" w:color="auto"/>
          <w:bottom w:val="single" w:sz="4" w:space="1" w:color="auto"/>
        </w:pBdr>
        <w:spacing w:before="240" w:after="0"/>
        <w:rPr>
          <w:i/>
          <w:iCs/>
        </w:rPr>
      </w:pPr>
      <w:r w:rsidRPr="002C0C00">
        <w:rPr>
          <w:i/>
          <w:iCs/>
          <w:lang w:eastAsia="ko-KR"/>
        </w:rPr>
        <w:t xml:space="preserve">The UE shall </w:t>
      </w:r>
      <w:r w:rsidRPr="002C0C00">
        <w:rPr>
          <w:i/>
          <w:iCs/>
        </w:rPr>
        <w:t xml:space="preserve">be able to transmit PRACH on the new UL BWP of the </w:t>
      </w:r>
      <w:proofErr w:type="spellStart"/>
      <w:r w:rsidRPr="002C0C00">
        <w:rPr>
          <w:i/>
          <w:iCs/>
        </w:rPr>
        <w:t>SpCell</w:t>
      </w:r>
      <w:proofErr w:type="spellEnd"/>
      <w:r w:rsidRPr="002C0C00">
        <w:rPr>
          <w:i/>
          <w:iCs/>
        </w:rPr>
        <w:t xml:space="preserve"> </w:t>
      </w:r>
      <w:r w:rsidRPr="002C0C00">
        <w:rPr>
          <w:i/>
          <w:iCs/>
          <w:u w:val="single"/>
        </w:rPr>
        <w:t>on the first UL slot</w:t>
      </w:r>
      <w:r w:rsidRPr="002C0C00">
        <w:rPr>
          <w:i/>
          <w:iCs/>
        </w:rPr>
        <w:t xml:space="preserve"> </w:t>
      </w:r>
      <w:r w:rsidRPr="002C0C00">
        <w:rPr>
          <w:i/>
          <w:iCs/>
          <w:lang w:val="en-US" w:eastAsia="zh-CN"/>
        </w:rPr>
        <w:t>occurs</w:t>
      </w:r>
      <w:r w:rsidRPr="002C0C00">
        <w:rPr>
          <w:i/>
          <w:iCs/>
        </w:rPr>
        <w:t xml:space="preserve"> right after slot </w:t>
      </w:r>
      <w:proofErr w:type="spellStart"/>
      <w:r w:rsidRPr="002C0C00">
        <w:rPr>
          <w:i/>
          <w:iCs/>
        </w:rPr>
        <w:t>n+</w:t>
      </w:r>
      <w:r w:rsidRPr="002C0C00">
        <w:rPr>
          <w:i/>
          <w:iCs/>
          <w:lang w:eastAsia="zh-CN"/>
        </w:rPr>
        <w:t>T</w:t>
      </w:r>
      <w:r w:rsidRPr="002C0C00">
        <w:rPr>
          <w:i/>
          <w:iCs/>
          <w:vertAlign w:val="subscript"/>
          <w:lang w:eastAsia="zh-CN"/>
        </w:rPr>
        <w:t>BWPswitchDelay</w:t>
      </w:r>
      <w:proofErr w:type="spellEnd"/>
      <w:r w:rsidRPr="002C0C00">
        <w:rPr>
          <w:i/>
          <w:iCs/>
        </w:rPr>
        <w:t xml:space="preserve"> +1, where </w:t>
      </w:r>
      <w:proofErr w:type="spellStart"/>
      <w:r w:rsidRPr="002C0C00">
        <w:rPr>
          <w:i/>
          <w:iCs/>
          <w:lang w:eastAsia="zh-CN"/>
        </w:rPr>
        <w:t>T</w:t>
      </w:r>
      <w:r w:rsidRPr="002C0C00">
        <w:rPr>
          <w:i/>
          <w:iCs/>
          <w:vertAlign w:val="subscript"/>
          <w:lang w:eastAsia="zh-CN"/>
        </w:rPr>
        <w:t>BWPswitchDelay</w:t>
      </w:r>
      <w:proofErr w:type="spellEnd"/>
      <w:r w:rsidRPr="002C0C00">
        <w:rPr>
          <w:i/>
          <w:iCs/>
          <w:vertAlign w:val="subscript"/>
          <w:lang w:eastAsia="zh-CN"/>
        </w:rPr>
        <w:t xml:space="preserve"> </w:t>
      </w:r>
      <w:r w:rsidRPr="002C0C00">
        <w:rPr>
          <w:i/>
          <w:iCs/>
          <w:lang w:eastAsia="zh-CN"/>
        </w:rPr>
        <w:t xml:space="preserve">is defined in </w:t>
      </w:r>
      <w:r w:rsidRPr="002C0C00">
        <w:rPr>
          <w:i/>
          <w:iCs/>
        </w:rPr>
        <w:t>Table 8.6.2-1.</w:t>
      </w:r>
    </w:p>
    <w:p w14:paraId="4B026661" w14:textId="1CACD749" w:rsidR="002C0C00" w:rsidRDefault="002C0C00" w:rsidP="00FE032A">
      <w:pPr>
        <w:spacing w:before="240" w:after="0"/>
        <w:rPr>
          <w:rFonts w:eastAsia="SimSun"/>
          <w:sz w:val="22"/>
          <w:szCs w:val="22"/>
          <w:lang w:eastAsia="ko-KR"/>
        </w:rPr>
      </w:pPr>
      <w:r>
        <w:rPr>
          <w:rFonts w:eastAsia="SimSun"/>
          <w:sz w:val="22"/>
          <w:szCs w:val="22"/>
          <w:lang w:eastAsia="ko-KR"/>
        </w:rPr>
        <w:t xml:space="preserve">The first UL slot here means the UL slot where the UE can transmit the RACH in the new UL BWP. This should also account for the PRACH uncertainty. In our view the </w:t>
      </w:r>
      <w:r w:rsidRPr="00056CCB">
        <w:rPr>
          <w:rFonts w:eastAsia="SimSun"/>
          <w:sz w:val="22"/>
          <w:szCs w:val="22"/>
          <w:lang w:eastAsia="ko-KR"/>
        </w:rPr>
        <w:t>UL BWP switching delay</w:t>
      </w:r>
      <w:r>
        <w:rPr>
          <w:rFonts w:eastAsia="SimSun"/>
          <w:sz w:val="22"/>
          <w:szCs w:val="22"/>
          <w:lang w:eastAsia="ko-KR"/>
        </w:rPr>
        <w:t xml:space="preserve"> should not include additional time to account for the </w:t>
      </w:r>
      <w:r w:rsidRPr="002C0C00">
        <w:rPr>
          <w:rFonts w:eastAsia="SimSun"/>
          <w:sz w:val="22"/>
          <w:szCs w:val="22"/>
          <w:lang w:eastAsia="ko-KR"/>
        </w:rPr>
        <w:t xml:space="preserve">availability of </w:t>
      </w:r>
      <w:r>
        <w:rPr>
          <w:rFonts w:eastAsia="SimSun"/>
          <w:sz w:val="22"/>
          <w:szCs w:val="22"/>
          <w:lang w:eastAsia="ko-KR"/>
        </w:rPr>
        <w:t xml:space="preserve">the </w:t>
      </w:r>
      <w:r w:rsidRPr="002C0C00">
        <w:rPr>
          <w:rFonts w:eastAsia="SimSun"/>
          <w:sz w:val="22"/>
          <w:szCs w:val="22"/>
          <w:lang w:eastAsia="ko-KR"/>
        </w:rPr>
        <w:t>RACH resource</w:t>
      </w:r>
      <w:r>
        <w:rPr>
          <w:rFonts w:eastAsia="SimSun"/>
          <w:sz w:val="22"/>
          <w:szCs w:val="22"/>
          <w:lang w:eastAsia="ko-KR"/>
        </w:rPr>
        <w:t xml:space="preserve"> in the new UL BWP.</w:t>
      </w:r>
    </w:p>
    <w:p w14:paraId="2DCBDBD8" w14:textId="2DDD1229" w:rsidR="002C0C00" w:rsidRDefault="002C0C00" w:rsidP="00FE032A">
      <w:pPr>
        <w:spacing w:before="240" w:after="0"/>
        <w:rPr>
          <w:rFonts w:eastAsia="SimSun"/>
          <w:sz w:val="22"/>
          <w:szCs w:val="22"/>
          <w:lang w:eastAsia="ko-KR"/>
        </w:rPr>
      </w:pPr>
      <w:r>
        <w:rPr>
          <w:rFonts w:eastAsia="SimSun"/>
          <w:sz w:val="22"/>
          <w:szCs w:val="22"/>
          <w:lang w:eastAsia="ko-KR"/>
        </w:rPr>
        <w:t>If needed the current wording can be clarified e.g. by including ‘available’ as shown below:</w:t>
      </w:r>
    </w:p>
    <w:p w14:paraId="3CC7C672" w14:textId="6E8C432A" w:rsidR="002C0C00" w:rsidRPr="002C0C00" w:rsidRDefault="002C0C00" w:rsidP="002C0C00">
      <w:pPr>
        <w:pBdr>
          <w:top w:val="single" w:sz="4" w:space="1" w:color="auto"/>
          <w:bottom w:val="single" w:sz="4" w:space="1" w:color="auto"/>
        </w:pBdr>
        <w:spacing w:before="240" w:after="0"/>
        <w:rPr>
          <w:i/>
          <w:iCs/>
        </w:rPr>
      </w:pPr>
      <w:r w:rsidRPr="002C0C00">
        <w:rPr>
          <w:i/>
          <w:iCs/>
          <w:lang w:eastAsia="ko-KR"/>
        </w:rPr>
        <w:t xml:space="preserve">The UE shall </w:t>
      </w:r>
      <w:r w:rsidRPr="002C0C00">
        <w:rPr>
          <w:i/>
          <w:iCs/>
        </w:rPr>
        <w:t xml:space="preserve">be able to transmit PRACH on the new UL BWP of the </w:t>
      </w:r>
      <w:proofErr w:type="spellStart"/>
      <w:r w:rsidRPr="002C0C00">
        <w:rPr>
          <w:i/>
          <w:iCs/>
        </w:rPr>
        <w:t>SpCell</w:t>
      </w:r>
      <w:proofErr w:type="spellEnd"/>
      <w:r w:rsidRPr="002C0C00">
        <w:rPr>
          <w:i/>
          <w:iCs/>
        </w:rPr>
        <w:t xml:space="preserve"> </w:t>
      </w:r>
      <w:r w:rsidRPr="002C0C00">
        <w:rPr>
          <w:i/>
          <w:iCs/>
          <w:u w:val="single"/>
        </w:rPr>
        <w:t xml:space="preserve">on the first </w:t>
      </w:r>
      <w:r w:rsidRPr="002C0C00">
        <w:rPr>
          <w:i/>
          <w:iCs/>
          <w:color w:val="FF0000"/>
          <w:u w:val="single"/>
        </w:rPr>
        <w:t>available</w:t>
      </w:r>
      <w:r>
        <w:rPr>
          <w:i/>
          <w:iCs/>
          <w:u w:val="single"/>
        </w:rPr>
        <w:t xml:space="preserve"> </w:t>
      </w:r>
      <w:r w:rsidRPr="002C0C00">
        <w:rPr>
          <w:i/>
          <w:iCs/>
          <w:u w:val="single"/>
        </w:rPr>
        <w:t>UL slot</w:t>
      </w:r>
      <w:r w:rsidRPr="002C0C00">
        <w:rPr>
          <w:i/>
          <w:iCs/>
        </w:rPr>
        <w:t xml:space="preserve"> </w:t>
      </w:r>
      <w:r w:rsidRPr="002C0C00">
        <w:rPr>
          <w:i/>
          <w:iCs/>
          <w:lang w:val="en-US" w:eastAsia="zh-CN"/>
        </w:rPr>
        <w:t>occurs</w:t>
      </w:r>
      <w:r w:rsidRPr="002C0C00">
        <w:rPr>
          <w:i/>
          <w:iCs/>
        </w:rPr>
        <w:t xml:space="preserve"> right after slot </w:t>
      </w:r>
      <w:proofErr w:type="spellStart"/>
      <w:r w:rsidRPr="002C0C00">
        <w:rPr>
          <w:i/>
          <w:iCs/>
        </w:rPr>
        <w:t>n+</w:t>
      </w:r>
      <w:r w:rsidRPr="002C0C00">
        <w:rPr>
          <w:i/>
          <w:iCs/>
          <w:lang w:eastAsia="zh-CN"/>
        </w:rPr>
        <w:t>T</w:t>
      </w:r>
      <w:r w:rsidRPr="002C0C00">
        <w:rPr>
          <w:i/>
          <w:iCs/>
          <w:vertAlign w:val="subscript"/>
          <w:lang w:eastAsia="zh-CN"/>
        </w:rPr>
        <w:t>BWPswitchDelay</w:t>
      </w:r>
      <w:proofErr w:type="spellEnd"/>
      <w:r w:rsidRPr="002C0C00">
        <w:rPr>
          <w:i/>
          <w:iCs/>
        </w:rPr>
        <w:t xml:space="preserve"> +1, where </w:t>
      </w:r>
      <w:proofErr w:type="spellStart"/>
      <w:r w:rsidRPr="002C0C00">
        <w:rPr>
          <w:i/>
          <w:iCs/>
          <w:lang w:eastAsia="zh-CN"/>
        </w:rPr>
        <w:t>T</w:t>
      </w:r>
      <w:r w:rsidRPr="002C0C00">
        <w:rPr>
          <w:i/>
          <w:iCs/>
          <w:vertAlign w:val="subscript"/>
          <w:lang w:eastAsia="zh-CN"/>
        </w:rPr>
        <w:t>BWPswitchDelay</w:t>
      </w:r>
      <w:proofErr w:type="spellEnd"/>
      <w:r w:rsidRPr="002C0C00">
        <w:rPr>
          <w:i/>
          <w:iCs/>
          <w:vertAlign w:val="subscript"/>
          <w:lang w:eastAsia="zh-CN"/>
        </w:rPr>
        <w:t xml:space="preserve"> </w:t>
      </w:r>
      <w:r w:rsidRPr="002C0C00">
        <w:rPr>
          <w:i/>
          <w:iCs/>
          <w:lang w:eastAsia="zh-CN"/>
        </w:rPr>
        <w:t xml:space="preserve">is defined in </w:t>
      </w:r>
      <w:r w:rsidRPr="002C0C00">
        <w:rPr>
          <w:i/>
          <w:iCs/>
        </w:rPr>
        <w:t>Table 8.6.2-1.</w:t>
      </w:r>
    </w:p>
    <w:p w14:paraId="6A5B3D8F" w14:textId="52F6E390" w:rsidR="002C0C00" w:rsidRDefault="002C0C00" w:rsidP="002C0C00">
      <w:pPr>
        <w:pStyle w:val="Heading1"/>
        <w:numPr>
          <w:ilvl w:val="0"/>
          <w:numId w:val="17"/>
        </w:numPr>
        <w:spacing w:before="360" w:after="0"/>
        <w:ind w:left="357" w:hanging="357"/>
      </w:pPr>
      <w:r>
        <w:t xml:space="preserve">Non-overlapping frequency condition between old and new </w:t>
      </w:r>
      <w:r w:rsidRPr="00F64287">
        <w:t>UL BWP</w:t>
      </w:r>
      <w:r>
        <w:t>s</w:t>
      </w:r>
    </w:p>
    <w:p w14:paraId="634C1649" w14:textId="7C2B8532" w:rsidR="004F64D9" w:rsidRDefault="0039624A" w:rsidP="00040DFB">
      <w:pPr>
        <w:spacing w:before="240" w:after="0"/>
        <w:rPr>
          <w:rFonts w:eastAsia="SimSun"/>
          <w:sz w:val="22"/>
          <w:szCs w:val="22"/>
          <w:lang w:eastAsia="ko-KR"/>
        </w:rPr>
      </w:pPr>
      <w:r>
        <w:rPr>
          <w:rFonts w:eastAsia="SimSun"/>
          <w:sz w:val="22"/>
          <w:szCs w:val="22"/>
          <w:lang w:eastAsia="ko-KR"/>
        </w:rPr>
        <w:t xml:space="preserve">The main issue is that the UE upon detecting consistent UL LBT failures in old/current active UL BWP cannot switch to the new UL BWP if </w:t>
      </w:r>
      <w:r w:rsidR="00DE3BDF">
        <w:rPr>
          <w:rFonts w:eastAsia="SimSun"/>
          <w:sz w:val="22"/>
          <w:szCs w:val="22"/>
          <w:lang w:eastAsia="ko-KR"/>
        </w:rPr>
        <w:t>it contains t</w:t>
      </w:r>
      <w:r>
        <w:rPr>
          <w:rFonts w:eastAsia="SimSun"/>
          <w:sz w:val="22"/>
          <w:szCs w:val="22"/>
          <w:lang w:eastAsia="ko-KR"/>
        </w:rPr>
        <w:t>he old/current active UL BWP</w:t>
      </w:r>
      <w:r w:rsidR="00DE3BDF">
        <w:rPr>
          <w:rFonts w:eastAsia="SimSun"/>
          <w:sz w:val="22"/>
          <w:szCs w:val="22"/>
          <w:lang w:eastAsia="ko-KR"/>
        </w:rPr>
        <w:t>.</w:t>
      </w:r>
      <w:r w:rsidR="00740842">
        <w:rPr>
          <w:rFonts w:eastAsia="SimSun"/>
          <w:sz w:val="22"/>
          <w:szCs w:val="22"/>
          <w:lang w:eastAsia="ko-KR"/>
        </w:rPr>
        <w:t xml:space="preserve"> We recognize the </w:t>
      </w:r>
      <w:proofErr w:type="spellStart"/>
      <w:r w:rsidR="00740842">
        <w:rPr>
          <w:rFonts w:eastAsia="SimSun"/>
          <w:sz w:val="22"/>
          <w:szCs w:val="22"/>
          <w:lang w:eastAsia="ko-KR"/>
        </w:rPr>
        <w:t>iss</w:t>
      </w:r>
      <w:r w:rsidR="00AE648C">
        <w:rPr>
          <w:rFonts w:eastAsia="SimSun"/>
          <w:sz w:val="22"/>
          <w:szCs w:val="22"/>
          <w:lang w:eastAsia="ko-KR"/>
        </w:rPr>
        <w:t>us</w:t>
      </w:r>
      <w:proofErr w:type="spellEnd"/>
      <w:r w:rsidR="00AE648C">
        <w:rPr>
          <w:rFonts w:eastAsia="SimSun"/>
          <w:sz w:val="22"/>
          <w:szCs w:val="22"/>
          <w:lang w:eastAsia="ko-KR"/>
        </w:rPr>
        <w:t>;</w:t>
      </w:r>
      <w:r w:rsidR="00740842">
        <w:rPr>
          <w:rFonts w:eastAsia="SimSun"/>
          <w:sz w:val="22"/>
          <w:szCs w:val="22"/>
          <w:lang w:eastAsia="ko-KR"/>
        </w:rPr>
        <w:t xml:space="preserve"> but we don’t have strong view on the level of clarification needed in t</w:t>
      </w:r>
      <w:r w:rsidR="00AE648C">
        <w:rPr>
          <w:rFonts w:eastAsia="SimSun"/>
          <w:sz w:val="22"/>
          <w:szCs w:val="22"/>
          <w:lang w:eastAsia="ko-KR"/>
        </w:rPr>
        <w:t xml:space="preserve">he </w:t>
      </w:r>
      <w:r w:rsidR="00740842">
        <w:rPr>
          <w:rFonts w:eastAsia="SimSun"/>
          <w:sz w:val="22"/>
          <w:szCs w:val="22"/>
          <w:lang w:eastAsia="ko-KR"/>
        </w:rPr>
        <w:t xml:space="preserve">specification. One possibility is to clarify on more general level e.g. the UE switches to the new active </w:t>
      </w:r>
      <w:r w:rsidR="00740842" w:rsidRPr="00740842">
        <w:rPr>
          <w:rFonts w:eastAsia="SimSun"/>
          <w:sz w:val="22"/>
          <w:szCs w:val="22"/>
          <w:lang w:eastAsia="ko-KR"/>
        </w:rPr>
        <w:t xml:space="preserve">UL BWP </w:t>
      </w:r>
      <w:r w:rsidR="00740842">
        <w:rPr>
          <w:rFonts w:eastAsia="SimSun"/>
          <w:sz w:val="22"/>
          <w:szCs w:val="22"/>
          <w:lang w:eastAsia="ko-KR"/>
        </w:rPr>
        <w:t xml:space="preserve">which does not </w:t>
      </w:r>
      <w:r w:rsidR="00740842" w:rsidRPr="00740842">
        <w:rPr>
          <w:rFonts w:eastAsia="SimSun"/>
          <w:sz w:val="22"/>
          <w:szCs w:val="22"/>
          <w:lang w:eastAsia="ko-KR"/>
        </w:rPr>
        <w:t>experience consistent UL LBT failure</w:t>
      </w:r>
      <w:r w:rsidR="00740842">
        <w:rPr>
          <w:rFonts w:eastAsia="SimSun"/>
          <w:sz w:val="22"/>
          <w:szCs w:val="22"/>
          <w:lang w:eastAsia="ko-KR"/>
        </w:rPr>
        <w:t xml:space="preserve">. </w:t>
      </w:r>
      <w:r w:rsidR="00AE648C">
        <w:rPr>
          <w:rFonts w:eastAsia="SimSun"/>
          <w:sz w:val="22"/>
          <w:szCs w:val="22"/>
          <w:lang w:eastAsia="ko-KR"/>
        </w:rPr>
        <w:t>However, the current wording in the endorsed CR already states that the new UL BWP should not have triggered consistent UL failures. Otherwise the UE should not switch to such UL BWP</w:t>
      </w:r>
      <w:r w:rsidR="003B4DE6">
        <w:rPr>
          <w:rFonts w:eastAsia="SimSun"/>
          <w:sz w:val="22"/>
          <w:szCs w:val="22"/>
          <w:lang w:eastAsia="ko-KR"/>
        </w:rPr>
        <w:t>.</w:t>
      </w:r>
    </w:p>
    <w:p w14:paraId="44F72515" w14:textId="737D4F03" w:rsidR="00AE648C" w:rsidRPr="00AE648C" w:rsidRDefault="00AE648C" w:rsidP="00AE648C">
      <w:pPr>
        <w:pBdr>
          <w:top w:val="single" w:sz="4" w:space="1" w:color="auto"/>
          <w:bottom w:val="single" w:sz="4" w:space="1" w:color="auto"/>
        </w:pBdr>
        <w:spacing w:before="240" w:after="0"/>
        <w:rPr>
          <w:rFonts w:eastAsia="SimSun"/>
          <w:i/>
          <w:sz w:val="22"/>
          <w:szCs w:val="22"/>
          <w:lang w:eastAsia="ko-KR"/>
        </w:rPr>
      </w:pPr>
      <w:r w:rsidRPr="00AE648C">
        <w:rPr>
          <w:bCs/>
          <w:i/>
          <w:lang w:eastAsia="ko-KR"/>
        </w:rPr>
        <w:lastRenderedPageBreak/>
        <w:t xml:space="preserve">Upon detection of consistent UL LBT failure is </w:t>
      </w:r>
      <w:proofErr w:type="spellStart"/>
      <w:r w:rsidRPr="00AE648C">
        <w:rPr>
          <w:bCs/>
          <w:i/>
          <w:lang w:eastAsia="ko-KR"/>
        </w:rPr>
        <w:t>slot#n</w:t>
      </w:r>
      <w:proofErr w:type="spellEnd"/>
      <w:r w:rsidRPr="00AE648C">
        <w:rPr>
          <w:bCs/>
          <w:i/>
          <w:lang w:eastAsia="ko-KR"/>
        </w:rPr>
        <w:t xml:space="preserve"> in </w:t>
      </w:r>
      <w:proofErr w:type="spellStart"/>
      <w:r w:rsidRPr="00AE648C">
        <w:rPr>
          <w:bCs/>
          <w:i/>
          <w:lang w:eastAsia="ko-KR"/>
        </w:rPr>
        <w:t>SpCell</w:t>
      </w:r>
      <w:proofErr w:type="spellEnd"/>
      <w:r w:rsidRPr="00AE648C">
        <w:rPr>
          <w:i/>
        </w:rPr>
        <w:t xml:space="preserve"> </w:t>
      </w:r>
      <w:r w:rsidRPr="00AE648C">
        <w:rPr>
          <w:bCs/>
          <w:i/>
          <w:lang w:eastAsia="ko-KR"/>
        </w:rPr>
        <w:t xml:space="preserve">when UE detects </w:t>
      </w:r>
      <w:proofErr w:type="spellStart"/>
      <w:r w:rsidRPr="00AE648C">
        <w:rPr>
          <w:bCs/>
          <w:i/>
          <w:lang w:eastAsia="ko-KR"/>
        </w:rPr>
        <w:t>lbt-FailureInstanceMaxCount</w:t>
      </w:r>
      <w:proofErr w:type="spellEnd"/>
      <w:r w:rsidRPr="00AE648C">
        <w:rPr>
          <w:bCs/>
          <w:i/>
          <w:lang w:eastAsia="ko-KR"/>
        </w:rPr>
        <w:t xml:space="preserve"> number of LBT failure within </w:t>
      </w:r>
      <w:proofErr w:type="spellStart"/>
      <w:r w:rsidRPr="00AE648C">
        <w:rPr>
          <w:bCs/>
          <w:i/>
          <w:lang w:eastAsia="ko-KR"/>
        </w:rPr>
        <w:t>lbt-FailureDetectionTimer</w:t>
      </w:r>
      <w:proofErr w:type="spellEnd"/>
      <w:r w:rsidRPr="00AE648C">
        <w:rPr>
          <w:i/>
          <w:lang w:eastAsia="ko-KR"/>
        </w:rPr>
        <w:t xml:space="preserve">, the UE shall switch the active UL BWP to an UL BWP configured with PRACH occasion and </w:t>
      </w:r>
      <w:r w:rsidRPr="00AE648C">
        <w:rPr>
          <w:i/>
          <w:highlight w:val="yellow"/>
          <w:lang w:eastAsia="ko-KR"/>
        </w:rPr>
        <w:t>for which consistent LBT failure has not been triggered as defined in TS 38.321 clause 5.21</w:t>
      </w:r>
      <w:r w:rsidRPr="00AE648C">
        <w:rPr>
          <w:i/>
          <w:lang w:eastAsia="ko-KR"/>
        </w:rPr>
        <w:t xml:space="preserve"> [7].</w:t>
      </w:r>
    </w:p>
    <w:p w14:paraId="45C1AC25" w14:textId="03A9FAC4" w:rsidR="00CC6F36" w:rsidRPr="00263CD4" w:rsidRDefault="00CC6F36" w:rsidP="00263CD4">
      <w:pPr>
        <w:pStyle w:val="ListParagraph"/>
        <w:keepNext/>
        <w:keepLines/>
        <w:numPr>
          <w:ilvl w:val="0"/>
          <w:numId w:val="17"/>
        </w:numPr>
        <w:pBdr>
          <w:top w:val="single" w:sz="12" w:space="3" w:color="auto"/>
        </w:pBdr>
        <w:spacing w:before="360" w:after="120"/>
        <w:outlineLvl w:val="0"/>
        <w:rPr>
          <w:sz w:val="36"/>
        </w:rPr>
      </w:pPr>
      <w:r w:rsidRPr="00263CD4">
        <w:rPr>
          <w:sz w:val="36"/>
        </w:rPr>
        <w:t>Summary</w:t>
      </w:r>
    </w:p>
    <w:p w14:paraId="68DD4626" w14:textId="39F8B1DC" w:rsidR="00C620BC"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4D50F4">
        <w:rPr>
          <w:sz w:val="22"/>
          <w:szCs w:val="22"/>
        </w:rPr>
        <w:t>have analysed</w:t>
      </w:r>
      <w:r w:rsidR="000F78C5">
        <w:rPr>
          <w:sz w:val="22"/>
          <w:szCs w:val="22"/>
        </w:rPr>
        <w:t xml:space="preserve"> </w:t>
      </w:r>
      <w:r w:rsidR="00D95AAA">
        <w:rPr>
          <w:sz w:val="22"/>
          <w:szCs w:val="22"/>
          <w:lang w:val="en-US"/>
        </w:rPr>
        <w:t xml:space="preserve">the </w:t>
      </w:r>
      <w:r w:rsidR="00740842">
        <w:rPr>
          <w:sz w:val="22"/>
          <w:szCs w:val="22"/>
          <w:lang w:val="en-US"/>
        </w:rPr>
        <w:t xml:space="preserve">open issues related to the </w:t>
      </w:r>
      <w:r w:rsidR="00D95AAA">
        <w:rPr>
          <w:sz w:val="22"/>
          <w:szCs w:val="22"/>
          <w:lang w:val="en-US"/>
        </w:rPr>
        <w:t xml:space="preserve">BWP switching </w:t>
      </w:r>
      <w:r w:rsidR="00C72FBD">
        <w:rPr>
          <w:sz w:val="22"/>
          <w:szCs w:val="22"/>
          <w:lang w:val="en-US"/>
        </w:rPr>
        <w:t xml:space="preserve">delay </w:t>
      </w:r>
      <w:r w:rsidR="00D95AAA">
        <w:rPr>
          <w:sz w:val="22"/>
          <w:szCs w:val="22"/>
          <w:lang w:val="en-US"/>
        </w:rPr>
        <w:t xml:space="preserve">due to </w:t>
      </w:r>
      <w:bookmarkStart w:id="3" w:name="_Hlk40372178"/>
      <w:r w:rsidR="00D95AAA" w:rsidRPr="00A40679">
        <w:rPr>
          <w:sz w:val="22"/>
          <w:szCs w:val="22"/>
          <w:lang w:val="en-US"/>
        </w:rPr>
        <w:t xml:space="preserve">consistent UL LBT </w:t>
      </w:r>
      <w:r w:rsidR="00D95AAA" w:rsidRPr="003E728B">
        <w:rPr>
          <w:sz w:val="22"/>
          <w:szCs w:val="22"/>
          <w:lang w:val="en-US"/>
        </w:rPr>
        <w:t>failure</w:t>
      </w:r>
      <w:bookmarkEnd w:id="3"/>
      <w:r w:rsidR="005F3A09" w:rsidRPr="003E728B">
        <w:rPr>
          <w:sz w:val="22"/>
          <w:szCs w:val="22"/>
          <w:lang w:val="en-US"/>
        </w:rPr>
        <w:t xml:space="preserve">. </w:t>
      </w:r>
      <w:r w:rsidR="00C72FBD">
        <w:rPr>
          <w:sz w:val="22"/>
          <w:szCs w:val="22"/>
          <w:lang w:val="en-US"/>
        </w:rPr>
        <w:t xml:space="preserve">Following are the main </w:t>
      </w:r>
      <w:r w:rsidR="00B60F3A">
        <w:rPr>
          <w:sz w:val="22"/>
          <w:szCs w:val="22"/>
          <w:lang w:val="en-US"/>
        </w:rPr>
        <w:t xml:space="preserve">observation and </w:t>
      </w:r>
      <w:r w:rsidR="00C72FBD">
        <w:rPr>
          <w:sz w:val="22"/>
          <w:szCs w:val="22"/>
          <w:lang w:val="en-US"/>
        </w:rPr>
        <w:t>proposal</w:t>
      </w:r>
      <w:r w:rsidR="00B60F3A">
        <w:rPr>
          <w:sz w:val="22"/>
          <w:szCs w:val="22"/>
          <w:lang w:val="en-US"/>
        </w:rPr>
        <w:t>s</w:t>
      </w:r>
      <w:r w:rsidR="00C72FBD">
        <w:rPr>
          <w:sz w:val="22"/>
          <w:szCs w:val="22"/>
        </w:rPr>
        <w:t>:</w:t>
      </w:r>
      <w:r w:rsidR="00C620BC" w:rsidRPr="003E728B">
        <w:rPr>
          <w:sz w:val="22"/>
          <w:szCs w:val="22"/>
        </w:rPr>
        <w:t xml:space="preserve"> </w:t>
      </w:r>
      <w:bookmarkStart w:id="4" w:name="_Hlk23953093"/>
    </w:p>
    <w:p w14:paraId="14754283" w14:textId="10B6CB75" w:rsidR="00C72FBD" w:rsidRDefault="00C72FBD" w:rsidP="003C4CA3">
      <w:pPr>
        <w:overflowPunct w:val="0"/>
        <w:autoSpaceDE w:val="0"/>
        <w:autoSpaceDN w:val="0"/>
        <w:adjustRightInd w:val="0"/>
        <w:spacing w:after="0"/>
        <w:textAlignment w:val="baseline"/>
        <w:rPr>
          <w:sz w:val="22"/>
          <w:szCs w:val="22"/>
        </w:rPr>
      </w:pPr>
    </w:p>
    <w:p w14:paraId="4FA7F0DD" w14:textId="0D1C97D6" w:rsidR="00C72FBD" w:rsidRPr="00C72FBD" w:rsidRDefault="00C72FBD" w:rsidP="003C4CA3">
      <w:pPr>
        <w:overflowPunct w:val="0"/>
        <w:autoSpaceDE w:val="0"/>
        <w:autoSpaceDN w:val="0"/>
        <w:adjustRightInd w:val="0"/>
        <w:spacing w:after="0"/>
        <w:textAlignment w:val="baseline"/>
        <w:rPr>
          <w:b/>
          <w:bCs/>
          <w:sz w:val="22"/>
          <w:szCs w:val="22"/>
          <w:u w:val="single"/>
        </w:rPr>
      </w:pPr>
      <w:r w:rsidRPr="00C72FBD">
        <w:rPr>
          <w:b/>
          <w:bCs/>
          <w:szCs w:val="22"/>
          <w:u w:val="single"/>
        </w:rPr>
        <w:t>Availability of PRACH resource:</w:t>
      </w:r>
    </w:p>
    <w:p w14:paraId="28F06C1B" w14:textId="7254C0EA" w:rsidR="003E728B" w:rsidRPr="003E728B" w:rsidRDefault="003E728B" w:rsidP="003C4CA3">
      <w:pPr>
        <w:overflowPunct w:val="0"/>
        <w:autoSpaceDE w:val="0"/>
        <w:autoSpaceDN w:val="0"/>
        <w:adjustRightInd w:val="0"/>
        <w:spacing w:after="0"/>
        <w:textAlignment w:val="baseline"/>
        <w:rPr>
          <w:sz w:val="22"/>
          <w:szCs w:val="22"/>
        </w:rPr>
      </w:pPr>
    </w:p>
    <w:p w14:paraId="3879D5C8" w14:textId="71A05641" w:rsidR="003E728B" w:rsidRPr="0082020A" w:rsidRDefault="003E728B" w:rsidP="003E728B">
      <w:pPr>
        <w:pStyle w:val="ListParagraph"/>
        <w:numPr>
          <w:ilvl w:val="0"/>
          <w:numId w:val="13"/>
        </w:numPr>
        <w:overflowPunct w:val="0"/>
        <w:autoSpaceDE w:val="0"/>
        <w:autoSpaceDN w:val="0"/>
        <w:adjustRightInd w:val="0"/>
        <w:textAlignment w:val="baseline"/>
        <w:rPr>
          <w:rFonts w:ascii="Times New Roman" w:hAnsi="Times New Roman"/>
          <w:sz w:val="20"/>
        </w:rPr>
      </w:pPr>
      <w:r w:rsidRPr="0082020A">
        <w:rPr>
          <w:rFonts w:ascii="Times New Roman" w:hAnsi="Times New Roman"/>
          <w:b/>
          <w:bCs/>
          <w:sz w:val="20"/>
        </w:rPr>
        <w:t>Observation # 1</w:t>
      </w:r>
      <w:r w:rsidRPr="0082020A">
        <w:rPr>
          <w:rFonts w:ascii="Times New Roman" w:hAnsi="Times New Roman"/>
          <w:sz w:val="20"/>
        </w:rPr>
        <w:t xml:space="preserve">: </w:t>
      </w:r>
      <w:r w:rsidR="00C72FBD" w:rsidRPr="0082020A">
        <w:rPr>
          <w:rFonts w:ascii="Times New Roman" w:hAnsi="Times New Roman"/>
          <w:sz w:val="20"/>
        </w:rPr>
        <w:t>The existing requirements already account for the availability of PRACH resource</w:t>
      </w:r>
      <w:r w:rsidRPr="0082020A">
        <w:rPr>
          <w:rFonts w:ascii="Times New Roman" w:hAnsi="Times New Roman"/>
          <w:sz w:val="20"/>
        </w:rPr>
        <w:t>.</w:t>
      </w:r>
    </w:p>
    <w:p w14:paraId="103FE8E0" w14:textId="0C1843ED" w:rsidR="003E728B" w:rsidRPr="0082020A" w:rsidRDefault="003E728B" w:rsidP="003E728B">
      <w:pPr>
        <w:pStyle w:val="ListParagraph"/>
        <w:numPr>
          <w:ilvl w:val="0"/>
          <w:numId w:val="13"/>
        </w:numPr>
        <w:spacing w:before="240"/>
        <w:contextualSpacing w:val="0"/>
        <w:rPr>
          <w:rFonts w:ascii="Times New Roman" w:hAnsi="Times New Roman"/>
          <w:b/>
          <w:bCs/>
          <w:sz w:val="20"/>
        </w:rPr>
      </w:pPr>
      <w:r w:rsidRPr="0082020A">
        <w:rPr>
          <w:rFonts w:ascii="Times New Roman" w:hAnsi="Times New Roman"/>
          <w:b/>
          <w:bCs/>
          <w:sz w:val="20"/>
        </w:rPr>
        <w:t xml:space="preserve">Proposal # 1: </w:t>
      </w:r>
      <w:r w:rsidR="0082020A" w:rsidRPr="0082020A">
        <w:rPr>
          <w:rFonts w:ascii="Times New Roman" w:hAnsi="Times New Roman"/>
          <w:sz w:val="20"/>
        </w:rPr>
        <w:t xml:space="preserve">The following </w:t>
      </w:r>
      <w:r w:rsidR="00C72FBD" w:rsidRPr="0082020A">
        <w:rPr>
          <w:rFonts w:ascii="Times New Roman" w:hAnsi="Times New Roman"/>
          <w:sz w:val="20"/>
        </w:rPr>
        <w:t>clari</w:t>
      </w:r>
      <w:r w:rsidR="0082020A" w:rsidRPr="0082020A">
        <w:rPr>
          <w:rFonts w:ascii="Times New Roman" w:hAnsi="Times New Roman"/>
          <w:sz w:val="20"/>
        </w:rPr>
        <w:t>fication can be done to account for the availability of PRACH resource</w:t>
      </w:r>
      <w:r w:rsidRPr="0082020A">
        <w:rPr>
          <w:rFonts w:ascii="Times New Roman" w:hAnsi="Times New Roman"/>
          <w:sz w:val="20"/>
        </w:rPr>
        <w:t>.</w:t>
      </w:r>
    </w:p>
    <w:p w14:paraId="5189D964" w14:textId="4045D912" w:rsidR="0082020A" w:rsidRPr="0082020A" w:rsidRDefault="00C72FBD" w:rsidP="0082020A">
      <w:pPr>
        <w:pStyle w:val="ListParagraph"/>
        <w:numPr>
          <w:ilvl w:val="1"/>
          <w:numId w:val="13"/>
        </w:numPr>
        <w:spacing w:before="240"/>
        <w:contextualSpacing w:val="0"/>
        <w:rPr>
          <w:rFonts w:ascii="Times New Roman" w:hAnsi="Times New Roman"/>
          <w:b/>
          <w:bCs/>
          <w:sz w:val="20"/>
        </w:rPr>
      </w:pPr>
      <w:r w:rsidRPr="0082020A">
        <w:rPr>
          <w:rFonts w:ascii="Times New Roman" w:hAnsi="Times New Roman"/>
          <w:i/>
          <w:iCs/>
          <w:sz w:val="20"/>
          <w:lang w:eastAsia="ko-KR"/>
        </w:rPr>
        <w:t xml:space="preserve">The UE shall </w:t>
      </w:r>
      <w:r w:rsidRPr="0082020A">
        <w:rPr>
          <w:rFonts w:ascii="Times New Roman" w:hAnsi="Times New Roman"/>
          <w:i/>
          <w:iCs/>
          <w:sz w:val="20"/>
        </w:rPr>
        <w:t xml:space="preserve">be able to transmit PRACH on the new UL BWP of the </w:t>
      </w:r>
      <w:proofErr w:type="spellStart"/>
      <w:r w:rsidRPr="0082020A">
        <w:rPr>
          <w:rFonts w:ascii="Times New Roman" w:hAnsi="Times New Roman"/>
          <w:i/>
          <w:iCs/>
          <w:sz w:val="20"/>
        </w:rPr>
        <w:t>SpCell</w:t>
      </w:r>
      <w:proofErr w:type="spellEnd"/>
      <w:r w:rsidRPr="0082020A">
        <w:rPr>
          <w:rFonts w:ascii="Times New Roman" w:hAnsi="Times New Roman"/>
          <w:i/>
          <w:iCs/>
          <w:sz w:val="20"/>
        </w:rPr>
        <w:t xml:space="preserve"> </w:t>
      </w:r>
      <w:r w:rsidRPr="0082020A">
        <w:rPr>
          <w:rFonts w:ascii="Times New Roman" w:hAnsi="Times New Roman"/>
          <w:i/>
          <w:iCs/>
          <w:sz w:val="20"/>
          <w:u w:val="single"/>
        </w:rPr>
        <w:t xml:space="preserve">on the first </w:t>
      </w:r>
      <w:r w:rsidRPr="0082020A">
        <w:rPr>
          <w:rFonts w:ascii="Times New Roman" w:hAnsi="Times New Roman"/>
          <w:i/>
          <w:iCs/>
          <w:color w:val="FF0000"/>
          <w:sz w:val="20"/>
          <w:u w:val="single"/>
        </w:rPr>
        <w:t>available</w:t>
      </w:r>
      <w:r w:rsidRPr="0082020A">
        <w:rPr>
          <w:rFonts w:ascii="Times New Roman" w:hAnsi="Times New Roman"/>
          <w:i/>
          <w:iCs/>
          <w:sz w:val="20"/>
          <w:u w:val="single"/>
        </w:rPr>
        <w:t xml:space="preserve"> UL slot</w:t>
      </w:r>
      <w:r w:rsidRPr="0082020A">
        <w:rPr>
          <w:rFonts w:ascii="Times New Roman" w:hAnsi="Times New Roman"/>
          <w:i/>
          <w:iCs/>
          <w:sz w:val="20"/>
        </w:rPr>
        <w:t xml:space="preserve"> </w:t>
      </w:r>
      <w:r w:rsidRPr="0082020A">
        <w:rPr>
          <w:rFonts w:ascii="Times New Roman" w:hAnsi="Times New Roman"/>
          <w:i/>
          <w:iCs/>
          <w:sz w:val="20"/>
          <w:lang w:eastAsia="zh-CN"/>
        </w:rPr>
        <w:t>occurs</w:t>
      </w:r>
      <w:r w:rsidRPr="0082020A">
        <w:rPr>
          <w:rFonts w:ascii="Times New Roman" w:hAnsi="Times New Roman"/>
          <w:i/>
          <w:iCs/>
          <w:sz w:val="20"/>
        </w:rPr>
        <w:t xml:space="preserve"> right after slot </w:t>
      </w:r>
      <w:proofErr w:type="spellStart"/>
      <w:r w:rsidRPr="0082020A">
        <w:rPr>
          <w:rFonts w:ascii="Times New Roman" w:hAnsi="Times New Roman"/>
          <w:i/>
          <w:iCs/>
          <w:sz w:val="20"/>
        </w:rPr>
        <w:t>n+</w:t>
      </w:r>
      <w:r w:rsidRPr="0082020A">
        <w:rPr>
          <w:rFonts w:ascii="Times New Roman" w:hAnsi="Times New Roman"/>
          <w:i/>
          <w:iCs/>
          <w:sz w:val="20"/>
          <w:lang w:eastAsia="zh-CN"/>
        </w:rPr>
        <w:t>T</w:t>
      </w:r>
      <w:r w:rsidRPr="0082020A">
        <w:rPr>
          <w:rFonts w:ascii="Times New Roman" w:hAnsi="Times New Roman"/>
          <w:i/>
          <w:iCs/>
          <w:sz w:val="20"/>
          <w:vertAlign w:val="subscript"/>
          <w:lang w:eastAsia="zh-CN"/>
        </w:rPr>
        <w:t>BWPswitchDelay</w:t>
      </w:r>
      <w:proofErr w:type="spellEnd"/>
      <w:r w:rsidRPr="0082020A">
        <w:rPr>
          <w:rFonts w:ascii="Times New Roman" w:hAnsi="Times New Roman"/>
          <w:i/>
          <w:iCs/>
          <w:sz w:val="20"/>
        </w:rPr>
        <w:t xml:space="preserve"> +1, where </w:t>
      </w:r>
      <w:proofErr w:type="spellStart"/>
      <w:r w:rsidRPr="0082020A">
        <w:rPr>
          <w:rFonts w:ascii="Times New Roman" w:hAnsi="Times New Roman"/>
          <w:i/>
          <w:iCs/>
          <w:sz w:val="20"/>
          <w:lang w:eastAsia="zh-CN"/>
        </w:rPr>
        <w:t>T</w:t>
      </w:r>
      <w:r w:rsidRPr="0082020A">
        <w:rPr>
          <w:rFonts w:ascii="Times New Roman" w:hAnsi="Times New Roman"/>
          <w:i/>
          <w:iCs/>
          <w:sz w:val="20"/>
          <w:vertAlign w:val="subscript"/>
          <w:lang w:eastAsia="zh-CN"/>
        </w:rPr>
        <w:t>BWPswitchDelay</w:t>
      </w:r>
      <w:proofErr w:type="spellEnd"/>
      <w:r w:rsidRPr="0082020A">
        <w:rPr>
          <w:rFonts w:ascii="Times New Roman" w:hAnsi="Times New Roman"/>
          <w:i/>
          <w:iCs/>
          <w:sz w:val="20"/>
          <w:vertAlign w:val="subscript"/>
          <w:lang w:eastAsia="zh-CN"/>
        </w:rPr>
        <w:t xml:space="preserve"> </w:t>
      </w:r>
      <w:r w:rsidRPr="0082020A">
        <w:rPr>
          <w:rFonts w:ascii="Times New Roman" w:hAnsi="Times New Roman"/>
          <w:i/>
          <w:iCs/>
          <w:sz w:val="20"/>
          <w:lang w:eastAsia="zh-CN"/>
        </w:rPr>
        <w:t xml:space="preserve">is defined in </w:t>
      </w:r>
      <w:r w:rsidRPr="0082020A">
        <w:rPr>
          <w:rFonts w:ascii="Times New Roman" w:hAnsi="Times New Roman"/>
          <w:i/>
          <w:iCs/>
          <w:sz w:val="20"/>
        </w:rPr>
        <w:t>Table 8.6.2-1</w:t>
      </w:r>
    </w:p>
    <w:p w14:paraId="64F5BF7E" w14:textId="2A5E266A" w:rsidR="0082020A" w:rsidRPr="0082020A" w:rsidRDefault="0082020A" w:rsidP="0082020A">
      <w:pPr>
        <w:overflowPunct w:val="0"/>
        <w:autoSpaceDE w:val="0"/>
        <w:autoSpaceDN w:val="0"/>
        <w:adjustRightInd w:val="0"/>
        <w:spacing w:before="240" w:after="0"/>
        <w:textAlignment w:val="baseline"/>
        <w:rPr>
          <w:b/>
          <w:bCs/>
          <w:u w:val="single"/>
        </w:rPr>
      </w:pPr>
      <w:r w:rsidRPr="0082020A">
        <w:rPr>
          <w:b/>
          <w:bCs/>
          <w:u w:val="single"/>
        </w:rPr>
        <w:t>Non-overlapping condition for the old and new UL BWPs:</w:t>
      </w:r>
    </w:p>
    <w:p w14:paraId="3CFC4066" w14:textId="032141D3" w:rsidR="0082020A" w:rsidRPr="0082020A" w:rsidRDefault="0082020A" w:rsidP="0082020A">
      <w:pPr>
        <w:pStyle w:val="ListParagraph"/>
        <w:numPr>
          <w:ilvl w:val="0"/>
          <w:numId w:val="13"/>
        </w:numPr>
        <w:spacing w:before="240"/>
        <w:contextualSpacing w:val="0"/>
        <w:rPr>
          <w:rFonts w:ascii="Times New Roman" w:hAnsi="Times New Roman"/>
          <w:sz w:val="20"/>
        </w:rPr>
      </w:pPr>
      <w:r w:rsidRPr="0082020A">
        <w:rPr>
          <w:rFonts w:ascii="Times New Roman" w:hAnsi="Times New Roman"/>
          <w:b/>
          <w:bCs/>
          <w:sz w:val="20"/>
        </w:rPr>
        <w:t>Observation # 1</w:t>
      </w:r>
      <w:r w:rsidRPr="0082020A">
        <w:rPr>
          <w:rFonts w:ascii="Times New Roman" w:hAnsi="Times New Roman"/>
          <w:sz w:val="20"/>
        </w:rPr>
        <w:t xml:space="preserve">: </w:t>
      </w:r>
      <w:r>
        <w:rPr>
          <w:rFonts w:ascii="Times New Roman" w:hAnsi="Times New Roman"/>
          <w:sz w:val="20"/>
        </w:rPr>
        <w:t xml:space="preserve">Upon </w:t>
      </w:r>
      <w:r w:rsidRPr="0082020A">
        <w:rPr>
          <w:rFonts w:ascii="Times New Roman" w:hAnsi="Times New Roman"/>
          <w:sz w:val="20"/>
        </w:rPr>
        <w:t>consistent UL LBT failure</w:t>
      </w:r>
      <w:r>
        <w:rPr>
          <w:rFonts w:ascii="Times New Roman" w:hAnsi="Times New Roman"/>
          <w:sz w:val="20"/>
        </w:rPr>
        <w:t>s in the old active UL BWP, the UE should switch to new UL BWP which does not suffer from consistent UL LBT failure</w:t>
      </w:r>
      <w:r w:rsidRPr="0082020A">
        <w:rPr>
          <w:rFonts w:ascii="Times New Roman" w:hAnsi="Times New Roman"/>
          <w:sz w:val="20"/>
        </w:rPr>
        <w:t>.</w:t>
      </w:r>
    </w:p>
    <w:p w14:paraId="7B82DB71" w14:textId="1411F1E2" w:rsidR="003D0298" w:rsidRDefault="00496D9D" w:rsidP="00274CDB">
      <w:pPr>
        <w:pStyle w:val="ListParagraph"/>
        <w:numPr>
          <w:ilvl w:val="0"/>
          <w:numId w:val="13"/>
        </w:numPr>
        <w:spacing w:before="240"/>
        <w:contextualSpacing w:val="0"/>
        <w:rPr>
          <w:rFonts w:ascii="Times New Roman" w:hAnsi="Times New Roman"/>
          <w:sz w:val="20"/>
        </w:rPr>
      </w:pPr>
      <w:r w:rsidRPr="0082020A">
        <w:rPr>
          <w:rFonts w:ascii="Times New Roman" w:hAnsi="Times New Roman"/>
          <w:b/>
          <w:bCs/>
          <w:sz w:val="20"/>
        </w:rPr>
        <w:t xml:space="preserve">Proposal # 2: </w:t>
      </w:r>
      <w:r w:rsidR="003D0298">
        <w:rPr>
          <w:rFonts w:ascii="Times New Roman" w:hAnsi="Times New Roman"/>
          <w:sz w:val="20"/>
        </w:rPr>
        <w:t xml:space="preserve">The clarification in terms of frequency separation between the old and new UL BWPs is not necessary. </w:t>
      </w:r>
      <w:r>
        <w:rPr>
          <w:rFonts w:ascii="Times New Roman" w:hAnsi="Times New Roman"/>
          <w:sz w:val="20"/>
        </w:rPr>
        <w:t xml:space="preserve"> </w:t>
      </w:r>
    </w:p>
    <w:p w14:paraId="1E699B0E" w14:textId="335AC72B" w:rsidR="00C620BC" w:rsidRPr="00A56968" w:rsidRDefault="00274CDB" w:rsidP="00A56968">
      <w:pPr>
        <w:pStyle w:val="ListParagraph"/>
        <w:numPr>
          <w:ilvl w:val="0"/>
          <w:numId w:val="13"/>
        </w:numPr>
        <w:spacing w:before="240"/>
        <w:contextualSpacing w:val="0"/>
        <w:rPr>
          <w:rFonts w:ascii="Times New Roman" w:hAnsi="Times New Roman"/>
          <w:sz w:val="20"/>
        </w:rPr>
      </w:pPr>
      <w:r w:rsidRPr="0082020A">
        <w:rPr>
          <w:rFonts w:ascii="Times New Roman" w:hAnsi="Times New Roman"/>
          <w:b/>
          <w:bCs/>
          <w:sz w:val="20"/>
        </w:rPr>
        <w:t xml:space="preserve">Proposal # </w:t>
      </w:r>
      <w:r w:rsidR="003D0298">
        <w:rPr>
          <w:rFonts w:ascii="Times New Roman" w:hAnsi="Times New Roman"/>
          <w:b/>
          <w:bCs/>
          <w:sz w:val="20"/>
        </w:rPr>
        <w:t>3</w:t>
      </w:r>
      <w:r w:rsidRPr="0082020A">
        <w:rPr>
          <w:rFonts w:ascii="Times New Roman" w:hAnsi="Times New Roman"/>
          <w:b/>
          <w:bCs/>
          <w:sz w:val="20"/>
        </w:rPr>
        <w:t xml:space="preserve">: </w:t>
      </w:r>
      <w:r w:rsidR="003B4DE6">
        <w:rPr>
          <w:rFonts w:ascii="Times New Roman" w:hAnsi="Times New Roman"/>
          <w:sz w:val="20"/>
        </w:rPr>
        <w:t>If needed the existing wording</w:t>
      </w:r>
      <w:r w:rsidR="003D0298">
        <w:rPr>
          <w:rFonts w:ascii="Times New Roman" w:hAnsi="Times New Roman"/>
          <w:sz w:val="20"/>
        </w:rPr>
        <w:t>, “..</w:t>
      </w:r>
      <w:r w:rsidR="003D0298" w:rsidRPr="003D0298">
        <w:rPr>
          <w:rFonts w:ascii="Times New Roman" w:hAnsi="Times New Roman"/>
          <w:i/>
          <w:iCs/>
          <w:sz w:val="20"/>
        </w:rPr>
        <w:t xml:space="preserve">the </w:t>
      </w:r>
      <w:r w:rsidR="003B4DE6" w:rsidRPr="003D0298">
        <w:rPr>
          <w:rFonts w:ascii="Times New Roman" w:hAnsi="Times New Roman"/>
          <w:i/>
          <w:iCs/>
          <w:sz w:val="20"/>
        </w:rPr>
        <w:t>UE shall switch the active UL BWP to an UL BWP configured with PRACH occasion and for which consistent LBT failure has not been triggered as defined in TS 38.321 clause 5.21</w:t>
      </w:r>
      <w:r w:rsidR="003D0298">
        <w:rPr>
          <w:rFonts w:ascii="Times New Roman" w:hAnsi="Times New Roman"/>
          <w:sz w:val="20"/>
        </w:rPr>
        <w:t xml:space="preserve">”, can be clarified to ensure that the UE does not switch to new UL BWP where it experiences also consistent UL LBT </w:t>
      </w:r>
      <w:proofErr w:type="spellStart"/>
      <w:r w:rsidR="003D0298">
        <w:rPr>
          <w:rFonts w:ascii="Times New Roman" w:hAnsi="Times New Roman"/>
          <w:sz w:val="20"/>
        </w:rPr>
        <w:t>failues</w:t>
      </w:r>
      <w:proofErr w:type="spellEnd"/>
      <w:r w:rsidR="003D0298">
        <w:rPr>
          <w:rFonts w:ascii="Times New Roman" w:hAnsi="Times New Roman"/>
          <w:sz w:val="20"/>
        </w:rPr>
        <w:t>.</w:t>
      </w:r>
    </w:p>
    <w:bookmarkEnd w:id="4"/>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3E7C3D54" w14:textId="1D2181E8" w:rsidR="00BE2894" w:rsidRPr="00A87CB7" w:rsidRDefault="003C5391" w:rsidP="00F04648">
      <w:pPr>
        <w:pStyle w:val="ListParagraph"/>
        <w:numPr>
          <w:ilvl w:val="0"/>
          <w:numId w:val="4"/>
        </w:numPr>
        <w:spacing w:before="120"/>
        <w:contextualSpacing w:val="0"/>
        <w:rPr>
          <w:rFonts w:ascii="Times New Roman" w:hAnsi="Times New Roman"/>
          <w:sz w:val="20"/>
        </w:rPr>
      </w:pPr>
      <w:r w:rsidRPr="00A87CB7">
        <w:rPr>
          <w:rFonts w:ascii="Times New Roman" w:hAnsi="Times New Roman"/>
          <w:sz w:val="20"/>
        </w:rPr>
        <w:t>R4-</w:t>
      </w:r>
      <w:r w:rsidR="000743B0">
        <w:rPr>
          <w:rFonts w:ascii="Times New Roman" w:hAnsi="Times New Roman"/>
          <w:sz w:val="20"/>
        </w:rPr>
        <w:t>200</w:t>
      </w:r>
      <w:r w:rsidR="009C169C">
        <w:rPr>
          <w:rFonts w:ascii="Times New Roman" w:hAnsi="Times New Roman"/>
          <w:sz w:val="20"/>
        </w:rPr>
        <w:t>5367</w:t>
      </w:r>
      <w:r w:rsidRPr="00A87CB7">
        <w:rPr>
          <w:rFonts w:ascii="Times New Roman" w:hAnsi="Times New Roman"/>
          <w:sz w:val="20"/>
        </w:rPr>
        <w:t xml:space="preserve">, </w:t>
      </w:r>
      <w:r w:rsidR="000743B0" w:rsidRPr="000743B0">
        <w:rPr>
          <w:rFonts w:ascii="Times New Roman" w:hAnsi="Times New Roman"/>
          <w:sz w:val="20"/>
          <w:lang w:val="en-GB"/>
        </w:rPr>
        <w:t>WF on NR-U RRM Requirements (Part 2)</w:t>
      </w:r>
      <w:r w:rsidRPr="00A87CB7">
        <w:rPr>
          <w:rFonts w:ascii="Times New Roman" w:hAnsi="Times New Roman"/>
          <w:sz w:val="20"/>
        </w:rPr>
        <w:t xml:space="preserve">, </w:t>
      </w:r>
      <w:proofErr w:type="spellStart"/>
      <w:r w:rsidR="000743B0">
        <w:rPr>
          <w:rFonts w:ascii="Times New Roman" w:hAnsi="Times New Roman"/>
          <w:sz w:val="20"/>
        </w:rPr>
        <w:t>Mediatek</w:t>
      </w:r>
      <w:proofErr w:type="spellEnd"/>
      <w:r w:rsidRPr="00A87CB7">
        <w:rPr>
          <w:rFonts w:ascii="Times New Roman" w:hAnsi="Times New Roman"/>
          <w:sz w:val="20"/>
        </w:rPr>
        <w:t>.</w:t>
      </w:r>
    </w:p>
    <w:p w14:paraId="4DF9F42D" w14:textId="19D3C7A5" w:rsidR="00C32DE2" w:rsidRPr="00241655" w:rsidRDefault="00C32DE2" w:rsidP="00F04648">
      <w:pPr>
        <w:pStyle w:val="ListParagraph"/>
        <w:numPr>
          <w:ilvl w:val="0"/>
          <w:numId w:val="4"/>
        </w:numPr>
        <w:spacing w:before="120"/>
        <w:ind w:left="714" w:hanging="357"/>
        <w:contextualSpacing w:val="0"/>
        <w:rPr>
          <w:rFonts w:ascii="Times New Roman" w:hAnsi="Times New Roman"/>
          <w:sz w:val="20"/>
        </w:rPr>
      </w:pPr>
      <w:r w:rsidRPr="00C32DE2">
        <w:rPr>
          <w:rFonts w:ascii="Times New Roman" w:hAnsi="Times New Roman"/>
          <w:sz w:val="20"/>
        </w:rPr>
        <w:t>R4-2005372</w:t>
      </w:r>
      <w:r>
        <w:rPr>
          <w:rFonts w:ascii="Times New Roman" w:hAnsi="Times New Roman"/>
          <w:sz w:val="20"/>
        </w:rPr>
        <w:t xml:space="preserve">, </w:t>
      </w:r>
      <w:r w:rsidRPr="00C32DE2">
        <w:rPr>
          <w:rFonts w:ascii="Times New Roman" w:hAnsi="Times New Roman"/>
          <w:sz w:val="20"/>
        </w:rPr>
        <w:t xml:space="preserve">CR on introduction of Active BWP switching delay requirements for NR-U, Huawei, </w:t>
      </w:r>
      <w:proofErr w:type="spellStart"/>
      <w:r w:rsidRPr="00C32DE2">
        <w:rPr>
          <w:rFonts w:ascii="Times New Roman" w:hAnsi="Times New Roman"/>
          <w:sz w:val="20"/>
        </w:rPr>
        <w:t>Hisilicon</w:t>
      </w:r>
      <w:proofErr w:type="spellEnd"/>
    </w:p>
    <w:sectPr w:rsidR="00C32DE2" w:rsidRPr="002416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081F9F" w:rsidRDefault="00081F9F">
      <w:r>
        <w:separator/>
      </w:r>
    </w:p>
  </w:endnote>
  <w:endnote w:type="continuationSeparator" w:id="0">
    <w:p w14:paraId="49D9B48F" w14:textId="77777777" w:rsidR="00081F9F" w:rsidRDefault="0008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081F9F" w:rsidRDefault="00081F9F">
      <w:r>
        <w:separator/>
      </w:r>
    </w:p>
  </w:footnote>
  <w:footnote w:type="continuationSeparator" w:id="0">
    <w:p w14:paraId="5036D494" w14:textId="77777777" w:rsidR="00081F9F" w:rsidRDefault="0008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799"/>
    <w:multiLevelType w:val="hybridMultilevel"/>
    <w:tmpl w:val="BB74E3D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1CC1DA5"/>
    <w:multiLevelType w:val="hybridMultilevel"/>
    <w:tmpl w:val="F4E80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C73F91"/>
    <w:multiLevelType w:val="hybridMultilevel"/>
    <w:tmpl w:val="B76C1C22"/>
    <w:lvl w:ilvl="0" w:tplc="AAAC1F3E">
      <w:start w:val="1"/>
      <w:numFmt w:val="bullet"/>
      <w:lvlText w:val="•"/>
      <w:lvlJc w:val="left"/>
      <w:pPr>
        <w:tabs>
          <w:tab w:val="num" w:pos="720"/>
        </w:tabs>
        <w:ind w:left="720" w:hanging="360"/>
      </w:pPr>
      <w:rPr>
        <w:rFonts w:ascii="Arial" w:hAnsi="Arial" w:hint="default"/>
      </w:rPr>
    </w:lvl>
    <w:lvl w:ilvl="1" w:tplc="FAE26162">
      <w:numFmt w:val="bullet"/>
      <w:lvlText w:val="•"/>
      <w:lvlJc w:val="left"/>
      <w:pPr>
        <w:tabs>
          <w:tab w:val="num" w:pos="1440"/>
        </w:tabs>
        <w:ind w:left="1440" w:hanging="360"/>
      </w:pPr>
      <w:rPr>
        <w:rFonts w:ascii="Arial" w:hAnsi="Arial" w:hint="default"/>
      </w:rPr>
    </w:lvl>
    <w:lvl w:ilvl="2" w:tplc="5C64C868" w:tentative="1">
      <w:start w:val="1"/>
      <w:numFmt w:val="bullet"/>
      <w:lvlText w:val="•"/>
      <w:lvlJc w:val="left"/>
      <w:pPr>
        <w:tabs>
          <w:tab w:val="num" w:pos="2160"/>
        </w:tabs>
        <w:ind w:left="2160" w:hanging="360"/>
      </w:pPr>
      <w:rPr>
        <w:rFonts w:ascii="Arial" w:hAnsi="Arial" w:hint="default"/>
      </w:rPr>
    </w:lvl>
    <w:lvl w:ilvl="3" w:tplc="E0BE836E" w:tentative="1">
      <w:start w:val="1"/>
      <w:numFmt w:val="bullet"/>
      <w:lvlText w:val="•"/>
      <w:lvlJc w:val="left"/>
      <w:pPr>
        <w:tabs>
          <w:tab w:val="num" w:pos="2880"/>
        </w:tabs>
        <w:ind w:left="2880" w:hanging="360"/>
      </w:pPr>
      <w:rPr>
        <w:rFonts w:ascii="Arial" w:hAnsi="Arial" w:hint="default"/>
      </w:rPr>
    </w:lvl>
    <w:lvl w:ilvl="4" w:tplc="A73E9CEC" w:tentative="1">
      <w:start w:val="1"/>
      <w:numFmt w:val="bullet"/>
      <w:lvlText w:val="•"/>
      <w:lvlJc w:val="left"/>
      <w:pPr>
        <w:tabs>
          <w:tab w:val="num" w:pos="3600"/>
        </w:tabs>
        <w:ind w:left="3600" w:hanging="360"/>
      </w:pPr>
      <w:rPr>
        <w:rFonts w:ascii="Arial" w:hAnsi="Arial" w:hint="default"/>
      </w:rPr>
    </w:lvl>
    <w:lvl w:ilvl="5" w:tplc="9B2C5A64" w:tentative="1">
      <w:start w:val="1"/>
      <w:numFmt w:val="bullet"/>
      <w:lvlText w:val="•"/>
      <w:lvlJc w:val="left"/>
      <w:pPr>
        <w:tabs>
          <w:tab w:val="num" w:pos="4320"/>
        </w:tabs>
        <w:ind w:left="4320" w:hanging="360"/>
      </w:pPr>
      <w:rPr>
        <w:rFonts w:ascii="Arial" w:hAnsi="Arial" w:hint="default"/>
      </w:rPr>
    </w:lvl>
    <w:lvl w:ilvl="6" w:tplc="01020318" w:tentative="1">
      <w:start w:val="1"/>
      <w:numFmt w:val="bullet"/>
      <w:lvlText w:val="•"/>
      <w:lvlJc w:val="left"/>
      <w:pPr>
        <w:tabs>
          <w:tab w:val="num" w:pos="5040"/>
        </w:tabs>
        <w:ind w:left="5040" w:hanging="360"/>
      </w:pPr>
      <w:rPr>
        <w:rFonts w:ascii="Arial" w:hAnsi="Arial" w:hint="default"/>
      </w:rPr>
    </w:lvl>
    <w:lvl w:ilvl="7" w:tplc="160C2798" w:tentative="1">
      <w:start w:val="1"/>
      <w:numFmt w:val="bullet"/>
      <w:lvlText w:val="•"/>
      <w:lvlJc w:val="left"/>
      <w:pPr>
        <w:tabs>
          <w:tab w:val="num" w:pos="5760"/>
        </w:tabs>
        <w:ind w:left="5760" w:hanging="360"/>
      </w:pPr>
      <w:rPr>
        <w:rFonts w:ascii="Arial" w:hAnsi="Arial" w:hint="default"/>
      </w:rPr>
    </w:lvl>
    <w:lvl w:ilvl="8" w:tplc="4B7C29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2556729"/>
    <w:multiLevelType w:val="hybridMultilevel"/>
    <w:tmpl w:val="A8E03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34A30C7"/>
    <w:multiLevelType w:val="hybridMultilevel"/>
    <w:tmpl w:val="D99A93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5" w15:restartNumberingAfterBreak="0">
    <w:nsid w:val="70BC3029"/>
    <w:multiLevelType w:val="hybridMultilevel"/>
    <w:tmpl w:val="B7F01B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18"/>
  </w:num>
  <w:num w:numId="4">
    <w:abstractNumId w:val="2"/>
  </w:num>
  <w:num w:numId="5">
    <w:abstractNumId w:val="9"/>
  </w:num>
  <w:num w:numId="6">
    <w:abstractNumId w:val="17"/>
  </w:num>
  <w:num w:numId="7">
    <w:abstractNumId w:val="14"/>
  </w:num>
  <w:num w:numId="8">
    <w:abstractNumId w:val="12"/>
  </w:num>
  <w:num w:numId="9">
    <w:abstractNumId w:val="4"/>
  </w:num>
  <w:num w:numId="10">
    <w:abstractNumId w:val="7"/>
  </w:num>
  <w:num w:numId="11">
    <w:abstractNumId w:val="6"/>
  </w:num>
  <w:num w:numId="12">
    <w:abstractNumId w:val="8"/>
  </w:num>
  <w:num w:numId="13">
    <w:abstractNumId w:val="10"/>
  </w:num>
  <w:num w:numId="14">
    <w:abstractNumId w:val="13"/>
  </w:num>
  <w:num w:numId="15">
    <w:abstractNumId w:val="11"/>
  </w:num>
  <w:num w:numId="16">
    <w:abstractNumId w:val="15"/>
  </w:num>
  <w:num w:numId="17">
    <w:abstractNumId w:val="0"/>
  </w:num>
  <w:num w:numId="18">
    <w:abstractNumId w:val="1"/>
  </w:num>
  <w:num w:numId="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DC7"/>
    <w:rsid w:val="00016E7B"/>
    <w:rsid w:val="00016F6F"/>
    <w:rsid w:val="00016FB4"/>
    <w:rsid w:val="00017794"/>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56CCB"/>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43B0"/>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0C8"/>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33"/>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1D2"/>
    <w:rsid w:val="00144CE6"/>
    <w:rsid w:val="00145CBE"/>
    <w:rsid w:val="00145D43"/>
    <w:rsid w:val="00146326"/>
    <w:rsid w:val="00146573"/>
    <w:rsid w:val="001517C7"/>
    <w:rsid w:val="00151988"/>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5DB7"/>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054D"/>
    <w:rsid w:val="001911EA"/>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EF"/>
    <w:rsid w:val="001F460D"/>
    <w:rsid w:val="001F4799"/>
    <w:rsid w:val="001F4B52"/>
    <w:rsid w:val="001F52C3"/>
    <w:rsid w:val="001F6ADC"/>
    <w:rsid w:val="002003EE"/>
    <w:rsid w:val="00200410"/>
    <w:rsid w:val="00200D57"/>
    <w:rsid w:val="00200E19"/>
    <w:rsid w:val="00200EEE"/>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655"/>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3CD4"/>
    <w:rsid w:val="0026419E"/>
    <w:rsid w:val="00264DDF"/>
    <w:rsid w:val="00265B9B"/>
    <w:rsid w:val="00265D7A"/>
    <w:rsid w:val="00266652"/>
    <w:rsid w:val="00267363"/>
    <w:rsid w:val="00270A44"/>
    <w:rsid w:val="0027229B"/>
    <w:rsid w:val="00273288"/>
    <w:rsid w:val="00274751"/>
    <w:rsid w:val="00274CDB"/>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C00"/>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24A"/>
    <w:rsid w:val="00396C61"/>
    <w:rsid w:val="003A004F"/>
    <w:rsid w:val="003A08B9"/>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4DE6"/>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298"/>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28B"/>
    <w:rsid w:val="003E7A13"/>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C74"/>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9D"/>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64D9"/>
    <w:rsid w:val="004F762E"/>
    <w:rsid w:val="00502095"/>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5AF"/>
    <w:rsid w:val="0057083A"/>
    <w:rsid w:val="0057094C"/>
    <w:rsid w:val="00571884"/>
    <w:rsid w:val="005726F5"/>
    <w:rsid w:val="005740DE"/>
    <w:rsid w:val="00575B9B"/>
    <w:rsid w:val="0057650D"/>
    <w:rsid w:val="0057703E"/>
    <w:rsid w:val="00577B04"/>
    <w:rsid w:val="00580AD3"/>
    <w:rsid w:val="00582C2D"/>
    <w:rsid w:val="0058338F"/>
    <w:rsid w:val="005833C2"/>
    <w:rsid w:val="00583A30"/>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1583"/>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657F"/>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1CCC"/>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6993"/>
    <w:rsid w:val="00727328"/>
    <w:rsid w:val="00727E73"/>
    <w:rsid w:val="007319D5"/>
    <w:rsid w:val="007331C7"/>
    <w:rsid w:val="00733BB9"/>
    <w:rsid w:val="00734345"/>
    <w:rsid w:val="00735465"/>
    <w:rsid w:val="00735B72"/>
    <w:rsid w:val="007362B9"/>
    <w:rsid w:val="007365DD"/>
    <w:rsid w:val="00737D6B"/>
    <w:rsid w:val="00740842"/>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998"/>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E"/>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0C64"/>
    <w:rsid w:val="007A2404"/>
    <w:rsid w:val="007A27FB"/>
    <w:rsid w:val="007A2F5B"/>
    <w:rsid w:val="007A3211"/>
    <w:rsid w:val="007A458A"/>
    <w:rsid w:val="007A4A08"/>
    <w:rsid w:val="007A4B0F"/>
    <w:rsid w:val="007A5798"/>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50D9"/>
    <w:rsid w:val="008153BC"/>
    <w:rsid w:val="0082020A"/>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BF"/>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279A"/>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B83"/>
    <w:rsid w:val="00922DE3"/>
    <w:rsid w:val="0092317E"/>
    <w:rsid w:val="009233C5"/>
    <w:rsid w:val="0092453D"/>
    <w:rsid w:val="00924665"/>
    <w:rsid w:val="00924BC8"/>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47C02"/>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169C"/>
    <w:rsid w:val="009C3156"/>
    <w:rsid w:val="009C5A15"/>
    <w:rsid w:val="009C69CD"/>
    <w:rsid w:val="009C6CCD"/>
    <w:rsid w:val="009C7E54"/>
    <w:rsid w:val="009C7EA1"/>
    <w:rsid w:val="009D02C9"/>
    <w:rsid w:val="009D0A87"/>
    <w:rsid w:val="009D2E10"/>
    <w:rsid w:val="009D4B37"/>
    <w:rsid w:val="009D4CCB"/>
    <w:rsid w:val="009D5C6C"/>
    <w:rsid w:val="009D6DFB"/>
    <w:rsid w:val="009D6E35"/>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5B14"/>
    <w:rsid w:val="009F63AF"/>
    <w:rsid w:val="009F6EF2"/>
    <w:rsid w:val="009F734F"/>
    <w:rsid w:val="009F7656"/>
    <w:rsid w:val="009F7784"/>
    <w:rsid w:val="00A00234"/>
    <w:rsid w:val="00A00F53"/>
    <w:rsid w:val="00A01D5F"/>
    <w:rsid w:val="00A02796"/>
    <w:rsid w:val="00A028C7"/>
    <w:rsid w:val="00A03A09"/>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968"/>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232E"/>
    <w:rsid w:val="00A736BE"/>
    <w:rsid w:val="00A73BEC"/>
    <w:rsid w:val="00A7440F"/>
    <w:rsid w:val="00A750A9"/>
    <w:rsid w:val="00A755A8"/>
    <w:rsid w:val="00A7617F"/>
    <w:rsid w:val="00A7671C"/>
    <w:rsid w:val="00A76CCD"/>
    <w:rsid w:val="00A8177A"/>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48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0F3A"/>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8B5"/>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775"/>
    <w:rsid w:val="00C25A4B"/>
    <w:rsid w:val="00C26696"/>
    <w:rsid w:val="00C268F7"/>
    <w:rsid w:val="00C27AF1"/>
    <w:rsid w:val="00C27F99"/>
    <w:rsid w:val="00C301A6"/>
    <w:rsid w:val="00C3238A"/>
    <w:rsid w:val="00C32DE2"/>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2FBD"/>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E7455"/>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66052"/>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475E"/>
    <w:rsid w:val="00D85D4B"/>
    <w:rsid w:val="00D86738"/>
    <w:rsid w:val="00D86A45"/>
    <w:rsid w:val="00D876EA"/>
    <w:rsid w:val="00D90155"/>
    <w:rsid w:val="00D9144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BD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0C13"/>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4648"/>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05"/>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503"/>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32A"/>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PLChar">
    <w:name w:val="PL Char"/>
    <w:link w:val="PL"/>
    <w:qFormat/>
    <w:rsid w:val="001441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53650167">
      <w:bodyDiv w:val="1"/>
      <w:marLeft w:val="0"/>
      <w:marRight w:val="0"/>
      <w:marTop w:val="0"/>
      <w:marBottom w:val="0"/>
      <w:divBdr>
        <w:top w:val="none" w:sz="0" w:space="0" w:color="auto"/>
        <w:left w:val="none" w:sz="0" w:space="0" w:color="auto"/>
        <w:bottom w:val="none" w:sz="0" w:space="0" w:color="auto"/>
        <w:right w:val="none" w:sz="0" w:space="0" w:color="auto"/>
      </w:divBdr>
      <w:divsChild>
        <w:div w:id="447243435">
          <w:marLeft w:val="360"/>
          <w:marRight w:val="0"/>
          <w:marTop w:val="200"/>
          <w:marBottom w:val="0"/>
          <w:divBdr>
            <w:top w:val="none" w:sz="0" w:space="0" w:color="auto"/>
            <w:left w:val="none" w:sz="0" w:space="0" w:color="auto"/>
            <w:bottom w:val="none" w:sz="0" w:space="0" w:color="auto"/>
            <w:right w:val="none" w:sz="0" w:space="0" w:color="auto"/>
          </w:divBdr>
        </w:div>
        <w:div w:id="167913485">
          <w:marLeft w:val="1080"/>
          <w:marRight w:val="0"/>
          <w:marTop w:val="100"/>
          <w:marBottom w:val="0"/>
          <w:divBdr>
            <w:top w:val="none" w:sz="0" w:space="0" w:color="auto"/>
            <w:left w:val="none" w:sz="0" w:space="0" w:color="auto"/>
            <w:bottom w:val="none" w:sz="0" w:space="0" w:color="auto"/>
            <w:right w:val="none" w:sz="0" w:space="0" w:color="auto"/>
          </w:divBdr>
        </w:div>
        <w:div w:id="1601403399">
          <w:marLeft w:val="1080"/>
          <w:marRight w:val="0"/>
          <w:marTop w:val="100"/>
          <w:marBottom w:val="0"/>
          <w:divBdr>
            <w:top w:val="none" w:sz="0" w:space="0" w:color="auto"/>
            <w:left w:val="none" w:sz="0" w:space="0" w:color="auto"/>
            <w:bottom w:val="none" w:sz="0" w:space="0" w:color="auto"/>
            <w:right w:val="none" w:sz="0" w:space="0" w:color="auto"/>
          </w:divBdr>
        </w:div>
        <w:div w:id="375541881">
          <w:marLeft w:val="36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http://schemas.microsoft.com/office/2006/metadata/properties"/>
    <ds:schemaRef ds:uri="http://purl.org/dc/terms/"/>
    <ds:schemaRef ds:uri="http://purl.org/dc/elements/1.1/"/>
    <ds:schemaRef ds:uri="http://www.w3.org/XML/1998/namespace"/>
    <ds:schemaRef ds:uri="http://purl.org/dc/dcmitype/"/>
    <ds:schemaRef ds:uri="6f846979-0e6f-42ff-8b87-e1893efeda99"/>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711F2-0E1B-4543-AD59-582900A2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2</Pages>
  <Words>775</Words>
  <Characters>3741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70</cp:revision>
  <cp:lastPrinted>1899-12-31T23:00:00Z</cp:lastPrinted>
  <dcterms:created xsi:type="dcterms:W3CDTF">2020-02-07T16:07:00Z</dcterms:created>
  <dcterms:modified xsi:type="dcterms:W3CDTF">2020-05-15T16:51:00Z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